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DCFB3" w14:textId="77777777" w:rsidR="00511A61" w:rsidRDefault="009D125B">
      <w:pPr>
        <w:pStyle w:val="Title"/>
      </w:pPr>
      <w:r>
        <w:t>What I need from you</w:t>
      </w:r>
    </w:p>
    <w:p w14:paraId="4795EF74" w14:textId="77777777" w:rsidR="00511A61" w:rsidRDefault="009D125B">
      <w:pPr>
        <w:pStyle w:val="ServiceSubtitle"/>
      </w:pPr>
      <w:r>
        <w:t>Tender Pricing Review</w:t>
      </w:r>
    </w:p>
    <w:p w14:paraId="5E0FFE7E" w14:textId="77777777" w:rsidR="00511A61" w:rsidRDefault="00511A61">
      <w:pPr>
        <w:spacing w:after="160"/>
      </w:pPr>
    </w:p>
    <w:p w14:paraId="26A3214F" w14:textId="77777777" w:rsidR="00511A61" w:rsidRDefault="009D125B">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B419F00" w14:textId="77777777" w:rsidR="00511A61" w:rsidRDefault="009D125B">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F7DB1E4" w14:textId="77777777" w:rsidR="00511A61" w:rsidRDefault="00511A61">
      <w:pPr>
        <w:spacing w:after="220"/>
      </w:pPr>
    </w:p>
    <w:p w14:paraId="141E7171" w14:textId="77777777" w:rsidR="00511A61" w:rsidRDefault="009D125B">
      <w:pPr>
        <w:pStyle w:val="Heading2"/>
      </w:pPr>
      <w:r>
        <w:t xml:space="preserve">1.  </w:t>
      </w:r>
      <w:r>
        <w:rPr>
          <w:sz w:val="22"/>
          <w:szCs w:val="22"/>
        </w:rPr>
        <w:t>The draft tender build-up</w:t>
      </w:r>
      <w:r>
        <w:rPr>
          <w:caps/>
          <w:color w:val="67635B"/>
          <w:sz w:val="16"/>
          <w:szCs w:val="16"/>
        </w:rPr>
        <w:t xml:space="preserve">     Essential</w:t>
      </w:r>
    </w:p>
    <w:p w14:paraId="6EF2A808" w14:textId="77777777" w:rsidR="00511A61" w:rsidRDefault="009D125B">
      <w:pPr>
        <w:pStyle w:val="Detail"/>
      </w:pPr>
      <w:r>
        <w:rPr>
          <w:b/>
          <w:bCs/>
        </w:rPr>
        <w:t xml:space="preserve">Why I need it.  </w:t>
      </w:r>
      <w:r>
        <w:t>The thing being reviewed.</w:t>
      </w:r>
    </w:p>
    <w:p w14:paraId="6E252CA5" w14:textId="77777777" w:rsidR="00511A61" w:rsidRDefault="009D125B">
      <w:pPr>
        <w:pStyle w:val="Detail"/>
      </w:pPr>
      <w:r>
        <w:rPr>
          <w:b/>
          <w:bCs/>
        </w:rPr>
        <w:t xml:space="preserve">Where you'll find it.  </w:t>
      </w:r>
      <w:r>
        <w:t>The estimating folder, or wherever the pricing spreadsheet lives.</w:t>
      </w:r>
    </w:p>
    <w:p w14:paraId="232EABF5" w14:textId="77777777" w:rsidR="00511A61" w:rsidRDefault="009D125B">
      <w:pPr>
        <w:pStyle w:val="Detail"/>
      </w:pPr>
      <w:r>
        <w:rPr>
          <w:b/>
          <w:bCs/>
        </w:rPr>
        <w:t xml:space="preserve">Without it.  </w:t>
      </w:r>
      <w:r>
        <w:t>There is nothing to review, so the coverage check cannot start</w:t>
      </w:r>
    </w:p>
    <w:p w14:paraId="50878CC7" w14:textId="77777777" w:rsidR="00511A61" w:rsidRDefault="009D125B">
      <w:pPr>
        <w:pStyle w:val="Heading2"/>
      </w:pPr>
      <w:r>
        <w:t xml:space="preserve">2.  </w:t>
      </w:r>
      <w:r>
        <w:rPr>
          <w:sz w:val="22"/>
          <w:szCs w:val="22"/>
        </w:rPr>
        <w:t>The ITT and every addendum</w:t>
      </w:r>
      <w:r>
        <w:rPr>
          <w:caps/>
          <w:color w:val="67635B"/>
          <w:sz w:val="16"/>
          <w:szCs w:val="16"/>
        </w:rPr>
        <w:t xml:space="preserve">     Essential</w:t>
      </w:r>
    </w:p>
    <w:p w14:paraId="7B307FA9" w14:textId="77777777" w:rsidR="00511A61" w:rsidRDefault="009D125B">
      <w:pPr>
        <w:pStyle w:val="Detail"/>
      </w:pPr>
      <w:r>
        <w:rPr>
          <w:b/>
          <w:bCs/>
        </w:rPr>
        <w:t xml:space="preserve">Why I need it.  </w:t>
      </w:r>
      <w:r>
        <w:t>What the price has to answer.</w:t>
      </w:r>
    </w:p>
    <w:p w14:paraId="0E9E80A4" w14:textId="77777777" w:rsidR="00511A61" w:rsidRDefault="009D125B">
      <w:pPr>
        <w:pStyle w:val="Detail"/>
      </w:pPr>
      <w:r>
        <w:rPr>
          <w:b/>
          <w:bCs/>
        </w:rPr>
        <w:t xml:space="preserve">Where you'll find it.  </w:t>
      </w:r>
      <w:r>
        <w:t>The enquiry email or the portal download, unedited.</w:t>
      </w:r>
    </w:p>
    <w:p w14:paraId="71B9CBFF" w14:textId="77777777" w:rsidR="00511A61" w:rsidRDefault="009D125B">
      <w:pPr>
        <w:pStyle w:val="Detail"/>
      </w:pPr>
      <w:r>
        <w:rPr>
          <w:b/>
          <w:bCs/>
        </w:rPr>
        <w:t xml:space="preserve">Without it.  </w:t>
      </w:r>
      <w:r>
        <w:t>There is nothing to check the price against, so nothing can be reviewed</w:t>
      </w:r>
    </w:p>
    <w:p w14:paraId="7FD3ED38" w14:textId="77777777" w:rsidR="00511A61" w:rsidRDefault="009D125B">
      <w:pPr>
        <w:pStyle w:val="Heading2"/>
      </w:pPr>
      <w:r>
        <w:t xml:space="preserve">3.  </w:t>
      </w:r>
      <w:r>
        <w:rPr>
          <w:sz w:val="22"/>
          <w:szCs w:val="22"/>
        </w:rPr>
        <w:t>Drawings and specification</w:t>
      </w:r>
      <w:r>
        <w:rPr>
          <w:caps/>
          <w:color w:val="67635B"/>
          <w:sz w:val="16"/>
          <w:szCs w:val="16"/>
        </w:rPr>
        <w:t xml:space="preserve">     Important</w:t>
      </w:r>
    </w:p>
    <w:p w14:paraId="004079A7" w14:textId="77777777" w:rsidR="00511A61" w:rsidRDefault="009D125B">
      <w:pPr>
        <w:pStyle w:val="Detail"/>
      </w:pPr>
      <w:r>
        <w:rPr>
          <w:b/>
          <w:bCs/>
        </w:rPr>
        <w:t xml:space="preserve">Why I need it.  </w:t>
      </w:r>
      <w:r>
        <w:t>What is actually being built.</w:t>
      </w:r>
    </w:p>
    <w:p w14:paraId="4487BC55" w14:textId="77777777" w:rsidR="00511A61" w:rsidRDefault="009D125B">
      <w:pPr>
        <w:pStyle w:val="Detail"/>
      </w:pPr>
      <w:r>
        <w:rPr>
          <w:b/>
          <w:bCs/>
        </w:rPr>
        <w:t xml:space="preserve">Where you'll find it.  </w:t>
      </w:r>
      <w:r>
        <w:t>Wherever your tender pack came from, the same enquiry email or portal download that carried the ITT, or the design team's issue if drawings were sent separately.</w:t>
      </w:r>
    </w:p>
    <w:p w14:paraId="2650D95B" w14:textId="77777777" w:rsidR="00511A61" w:rsidRDefault="009D125B">
      <w:pPr>
        <w:pStyle w:val="Detail"/>
      </w:pPr>
      <w:r>
        <w:rPr>
          <w:b/>
          <w:bCs/>
        </w:rPr>
        <w:t xml:space="preserve">Without it.  </w:t>
      </w:r>
      <w:r>
        <w:t>The heaviest items go unchecked, and material products cannot be checked against the specification</w:t>
      </w:r>
    </w:p>
    <w:p w14:paraId="06AF3D12" w14:textId="77777777" w:rsidR="00511A61" w:rsidRDefault="009D125B">
      <w:pPr>
        <w:pStyle w:val="Heading2"/>
      </w:pPr>
      <w:r>
        <w:t xml:space="preserve">4.  </w:t>
      </w:r>
      <w:r>
        <w:rPr>
          <w:sz w:val="22"/>
          <w:szCs w:val="22"/>
        </w:rPr>
        <w:t>The programme assumed</w:t>
      </w:r>
      <w:r>
        <w:rPr>
          <w:caps/>
          <w:color w:val="67635B"/>
          <w:sz w:val="16"/>
          <w:szCs w:val="16"/>
        </w:rPr>
        <w:t xml:space="preserve">     Important</w:t>
      </w:r>
    </w:p>
    <w:p w14:paraId="0BC69A2F" w14:textId="77777777" w:rsidR="00511A61" w:rsidRDefault="009D125B">
      <w:pPr>
        <w:pStyle w:val="Detail"/>
      </w:pPr>
      <w:r>
        <w:rPr>
          <w:b/>
          <w:bCs/>
        </w:rPr>
        <w:t xml:space="preserve">Why I need it.  </w:t>
      </w:r>
      <w:r>
        <w:t>The periods the prelims are priced against.</w:t>
      </w:r>
    </w:p>
    <w:p w14:paraId="5D15AADB" w14:textId="77777777" w:rsidR="00511A61" w:rsidRDefault="009D125B">
      <w:pPr>
        <w:pStyle w:val="Detail"/>
      </w:pPr>
      <w:r>
        <w:rPr>
          <w:b/>
          <w:bCs/>
        </w:rPr>
        <w:t xml:space="preserve">Where you'll find it.  </w:t>
      </w:r>
      <w:r>
        <w:t>The enquiry documents or the pre-tender correspondence.</w:t>
      </w:r>
    </w:p>
    <w:p w14:paraId="23486CBA" w14:textId="77777777" w:rsidR="00511A61" w:rsidRDefault="009D125B">
      <w:pPr>
        <w:pStyle w:val="Detail"/>
      </w:pPr>
      <w:r>
        <w:rPr>
          <w:b/>
          <w:bCs/>
        </w:rPr>
        <w:t xml:space="preserve">What good looks like.  </w:t>
      </w:r>
      <w:r>
        <w:t>start, finish and durations, clear enough to read the weeks off.</w:t>
      </w:r>
    </w:p>
    <w:p w14:paraId="2C7FD4E4" w14:textId="77777777" w:rsidR="00511A61" w:rsidRDefault="009D125B">
      <w:pPr>
        <w:pStyle w:val="Detail"/>
      </w:pPr>
      <w:r>
        <w:rPr>
          <w:b/>
          <w:bCs/>
        </w:rPr>
        <w:t xml:space="preserve">Without it.  </w:t>
      </w:r>
      <w:r>
        <w:t>The preliminaries period cannot be tested against anything, and the period sensitivity check cannot run</w:t>
      </w:r>
    </w:p>
    <w:p w14:paraId="3F1706F2" w14:textId="77777777" w:rsidR="00511A61" w:rsidRDefault="009D125B">
      <w:pPr>
        <w:pStyle w:val="Heading2"/>
      </w:pPr>
      <w:r>
        <w:t xml:space="preserve">5.  </w:t>
      </w:r>
      <w:r>
        <w:rPr>
          <w:sz w:val="22"/>
          <w:szCs w:val="22"/>
        </w:rPr>
        <w:t>Rate and resource assumptions</w:t>
      </w:r>
      <w:r>
        <w:rPr>
          <w:caps/>
          <w:color w:val="67635B"/>
          <w:sz w:val="16"/>
          <w:szCs w:val="16"/>
        </w:rPr>
        <w:t xml:space="preserve">     Important</w:t>
      </w:r>
    </w:p>
    <w:p w14:paraId="71723CC4" w14:textId="77777777" w:rsidR="00511A61" w:rsidRDefault="009D125B">
      <w:pPr>
        <w:pStyle w:val="Detail"/>
      </w:pPr>
      <w:r>
        <w:rPr>
          <w:b/>
          <w:bCs/>
        </w:rPr>
        <w:t xml:space="preserve">Why I need it.  </w:t>
      </w:r>
      <w:r>
        <w:t>What the rates are built from.</w:t>
      </w:r>
    </w:p>
    <w:p w14:paraId="469216A6" w14:textId="77777777" w:rsidR="00511A61" w:rsidRDefault="009D125B">
      <w:pPr>
        <w:pStyle w:val="Detail"/>
      </w:pPr>
      <w:r>
        <w:rPr>
          <w:b/>
          <w:bCs/>
        </w:rPr>
        <w:t xml:space="preserve">Where you'll find it.  </w:t>
      </w:r>
      <w:r>
        <w:t>Your estimator's own workings, wherever gang sizes, outputs and all-in rates were noted down, even if that is only their notes on request.</w:t>
      </w:r>
    </w:p>
    <w:p w14:paraId="6D7BCA6C" w14:textId="77777777" w:rsidR="00511A61" w:rsidRDefault="009D125B">
      <w:pPr>
        <w:pStyle w:val="Detail"/>
      </w:pPr>
      <w:r>
        <w:rPr>
          <w:b/>
          <w:bCs/>
        </w:rPr>
        <w:t xml:space="preserve">Without it.  </w:t>
      </w:r>
      <w:r>
        <w:t>The labour rate is rebuilt on Jack's own assumptions instead of the estimator's, so the finding is not tested against how the price was actually built</w:t>
      </w:r>
    </w:p>
    <w:p w14:paraId="4111958F" w14:textId="77777777" w:rsidR="00511A61" w:rsidRDefault="009D125B">
      <w:pPr>
        <w:pStyle w:val="Heading2"/>
      </w:pPr>
      <w:r>
        <w:lastRenderedPageBreak/>
        <w:t xml:space="preserve">6.  </w:t>
      </w:r>
      <w:r>
        <w:rPr>
          <w:sz w:val="22"/>
          <w:szCs w:val="22"/>
        </w:rPr>
        <w:t>The prelims build-up</w:t>
      </w:r>
      <w:r>
        <w:rPr>
          <w:caps/>
          <w:color w:val="67635B"/>
          <w:sz w:val="16"/>
          <w:szCs w:val="16"/>
        </w:rPr>
        <w:t xml:space="preserve">     Important</w:t>
      </w:r>
    </w:p>
    <w:p w14:paraId="5AA36065" w14:textId="77777777" w:rsidR="00511A61" w:rsidRDefault="009D125B">
      <w:pPr>
        <w:pStyle w:val="Detail"/>
      </w:pPr>
      <w:r>
        <w:rPr>
          <w:b/>
          <w:bCs/>
        </w:rPr>
        <w:t xml:space="preserve">Why I need it.  </w:t>
      </w:r>
      <w:r>
        <w:t>The largest single risk in most tenders.</w:t>
      </w:r>
    </w:p>
    <w:p w14:paraId="48B5ED8A" w14:textId="77777777" w:rsidR="00511A61" w:rsidRDefault="009D125B">
      <w:pPr>
        <w:pStyle w:val="Detail"/>
      </w:pPr>
      <w:r>
        <w:rPr>
          <w:b/>
          <w:bCs/>
        </w:rPr>
        <w:t xml:space="preserve">Where you'll find it.  </w:t>
      </w:r>
      <w:r>
        <w:t>The estimating folder alongside the main build-up, or wherever whoever priced it kept the preliminaries workings.</w:t>
      </w:r>
    </w:p>
    <w:p w14:paraId="0666A1BA" w14:textId="77777777" w:rsidR="00511A61" w:rsidRDefault="009D125B">
      <w:pPr>
        <w:pStyle w:val="Detail"/>
      </w:pPr>
      <w:r>
        <w:rPr>
          <w:b/>
          <w:bCs/>
        </w:rPr>
        <w:t xml:space="preserve">Without it.  </w:t>
      </w:r>
      <w:r>
        <w:t>The prelims cannot be tested item by item, and the largest single risk in most tenders goes unchecked</w:t>
      </w:r>
    </w:p>
    <w:p w14:paraId="2A5700D6" w14:textId="77777777" w:rsidR="00511A61" w:rsidRDefault="009D125B">
      <w:pPr>
        <w:pStyle w:val="Heading2"/>
      </w:pPr>
      <w:r>
        <w:t xml:space="preserve">7.  </w:t>
      </w:r>
      <w:r>
        <w:rPr>
          <w:sz w:val="22"/>
          <w:szCs w:val="22"/>
        </w:rPr>
        <w:t>The submission deadline</w:t>
      </w:r>
      <w:r>
        <w:rPr>
          <w:caps/>
          <w:color w:val="67635B"/>
          <w:sz w:val="16"/>
          <w:szCs w:val="16"/>
        </w:rPr>
        <w:t xml:space="preserve">     Essential</w:t>
      </w:r>
    </w:p>
    <w:p w14:paraId="66C7E848" w14:textId="77777777" w:rsidR="00511A61" w:rsidRDefault="009D125B">
      <w:pPr>
        <w:pStyle w:val="Detail"/>
      </w:pPr>
      <w:r>
        <w:rPr>
          <w:b/>
          <w:bCs/>
        </w:rPr>
        <w:t xml:space="preserve">Why I need it.  </w:t>
      </w:r>
      <w:r>
        <w:t>How long there is to fix what is found.</w:t>
      </w:r>
    </w:p>
    <w:p w14:paraId="1E270A7E" w14:textId="77777777" w:rsidR="00511A61" w:rsidRDefault="009D125B">
      <w:pPr>
        <w:pStyle w:val="Detail"/>
      </w:pPr>
      <w:r>
        <w:rPr>
          <w:b/>
          <w:bCs/>
        </w:rPr>
        <w:t xml:space="preserve">Where you'll find it.  </w:t>
      </w:r>
      <w:r>
        <w:t>The ITT itself, on the invitation letter or the covering instructions; the portal listing usually repeats it too.</w:t>
      </w:r>
    </w:p>
    <w:p w14:paraId="5ACA52AC" w14:textId="77777777" w:rsidR="00511A61" w:rsidRDefault="009D125B">
      <w:pPr>
        <w:pStyle w:val="Detail"/>
      </w:pPr>
      <w:r>
        <w:rPr>
          <w:b/>
          <w:bCs/>
        </w:rPr>
        <w:t xml:space="preserve">Without it.  </w:t>
      </w:r>
      <w:r>
        <w:t>There is no way to know how much of the review can still be acted on before the tender has to go in</w:t>
      </w:r>
    </w:p>
    <w:p w14:paraId="1ED27497" w14:textId="77777777" w:rsidR="00511A61" w:rsidRDefault="009D125B">
      <w:pPr>
        <w:pStyle w:val="Heading2"/>
      </w:pPr>
      <w:r>
        <w:t xml:space="preserve">8.  </w:t>
      </w:r>
      <w:r>
        <w:rPr>
          <w:sz w:val="22"/>
          <w:szCs w:val="22"/>
        </w:rPr>
        <w:t>The basis-of-tender note</w:t>
      </w:r>
      <w:r>
        <w:rPr>
          <w:caps/>
          <w:color w:val="67635B"/>
          <w:sz w:val="16"/>
          <w:szCs w:val="16"/>
        </w:rPr>
        <w:t xml:space="preserve">     Important</w:t>
      </w:r>
    </w:p>
    <w:p w14:paraId="0ACF921C" w14:textId="77777777" w:rsidR="00511A61" w:rsidRDefault="009D125B">
      <w:pPr>
        <w:pStyle w:val="Detail"/>
      </w:pPr>
      <w:r>
        <w:rPr>
          <w:b/>
          <w:bCs/>
        </w:rPr>
        <w:t xml:space="preserve">Why I need it.  </w:t>
      </w:r>
      <w:r>
        <w:t>It states what the number already contains, so coverage is tested against what was intended rather than reconstructed.</w:t>
      </w:r>
    </w:p>
    <w:p w14:paraId="5824FA10" w14:textId="77777777" w:rsidR="00511A61" w:rsidRDefault="009D125B">
      <w:pPr>
        <w:pStyle w:val="Detail"/>
      </w:pPr>
      <w:r>
        <w:rPr>
          <w:b/>
          <w:bCs/>
        </w:rPr>
        <w:t xml:space="preserve">Where you'll find it.  </w:t>
      </w:r>
      <w:r>
        <w:t>Whoever assembled the submission. If the price was built under the relevant service the note is one of its two deliverables.</w:t>
      </w:r>
    </w:p>
    <w:p w14:paraId="1D9A1301" w14:textId="77777777" w:rsidR="00511A61" w:rsidRDefault="009D125B">
      <w:pPr>
        <w:pStyle w:val="Detail"/>
      </w:pPr>
      <w:r>
        <w:rPr>
          <w:b/>
          <w:bCs/>
        </w:rPr>
        <w:t xml:space="preserve">Without it.  </w:t>
      </w:r>
      <w:r>
        <w:t>What the price was intended to include is reconstructed from the build-up, which is slower and can only infer intent</w:t>
      </w:r>
    </w:p>
    <w:p w14:paraId="3AD7C303" w14:textId="77777777" w:rsidR="00511A61" w:rsidRDefault="009D125B">
      <w:pPr>
        <w:pStyle w:val="Heading1"/>
      </w:pPr>
      <w:r>
        <w:t>How to send it</w:t>
      </w:r>
    </w:p>
    <w:p w14:paraId="02612608" w14:textId="77777777" w:rsidR="00511A61" w:rsidRDefault="009D125B">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511A61">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AB745" w14:textId="77777777" w:rsidR="009D125B" w:rsidRDefault="009D125B">
      <w:pPr>
        <w:spacing w:after="0" w:line="240" w:lineRule="auto"/>
      </w:pPr>
      <w:r>
        <w:separator/>
      </w:r>
    </w:p>
  </w:endnote>
  <w:endnote w:type="continuationSeparator" w:id="0">
    <w:p w14:paraId="00073BCC" w14:textId="77777777" w:rsidR="009D125B" w:rsidRDefault="009D1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6BB7" w14:textId="77777777" w:rsidR="00D02559" w:rsidRDefault="00D025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5AB7B" w14:textId="77777777" w:rsidR="00511A61" w:rsidRDefault="009D125B">
    <w:pPr>
      <w:pStyle w:val="SmallPrint"/>
    </w:pPr>
    <w:r>
      <w:t xml:space="preserve">Page </w:t>
    </w:r>
    <w:r>
      <w:fldChar w:fldCharType="begin"/>
    </w:r>
    <w:r>
      <w:instrText>PAGE</w:instrText>
    </w:r>
    <w:r>
      <w:fldChar w:fldCharType="separate"/>
    </w:r>
    <w:r w:rsidR="00D02559">
      <w:rPr>
        <w:noProof/>
      </w:rPr>
      <w:t>1</w:t>
    </w:r>
    <w:r>
      <w:fldChar w:fldCharType="end"/>
    </w:r>
    <w:r>
      <w:t xml:space="preserve"> of </w:t>
    </w:r>
    <w:r>
      <w:fldChar w:fldCharType="begin"/>
    </w:r>
    <w:r>
      <w:instrText>NUMPAGES</w:instrText>
    </w:r>
    <w:r>
      <w:fldChar w:fldCharType="separate"/>
    </w:r>
    <w:r w:rsidR="00D02559">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6A2B8" w14:textId="77777777" w:rsidR="00D02559" w:rsidRDefault="00D02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03869" w14:textId="77777777" w:rsidR="009D125B" w:rsidRDefault="009D125B">
      <w:pPr>
        <w:spacing w:after="0" w:line="240" w:lineRule="auto"/>
      </w:pPr>
      <w:r>
        <w:separator/>
      </w:r>
    </w:p>
  </w:footnote>
  <w:footnote w:type="continuationSeparator" w:id="0">
    <w:p w14:paraId="67EA0A77" w14:textId="77777777" w:rsidR="009D125B" w:rsidRDefault="009D1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502EE" w14:textId="77777777" w:rsidR="00D02559" w:rsidRDefault="00D025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9048B" w14:textId="77777777" w:rsidR="00511A61" w:rsidRDefault="009D125B">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7EBD1" w14:textId="77777777" w:rsidR="00D02559" w:rsidRDefault="00D0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03A15"/>
    <w:multiLevelType w:val="hybridMultilevel"/>
    <w:tmpl w:val="DD4EBA8A"/>
    <w:lvl w:ilvl="0" w:tplc="D69A4926">
      <w:start w:val="1"/>
      <w:numFmt w:val="bullet"/>
      <w:lvlText w:val="●"/>
      <w:lvlJc w:val="left"/>
      <w:pPr>
        <w:ind w:left="720" w:hanging="360"/>
      </w:pPr>
    </w:lvl>
    <w:lvl w:ilvl="1" w:tplc="CC7EB00A">
      <w:start w:val="1"/>
      <w:numFmt w:val="bullet"/>
      <w:lvlText w:val="○"/>
      <w:lvlJc w:val="left"/>
      <w:pPr>
        <w:ind w:left="1440" w:hanging="360"/>
      </w:pPr>
    </w:lvl>
    <w:lvl w:ilvl="2" w:tplc="06EE4C88">
      <w:start w:val="1"/>
      <w:numFmt w:val="bullet"/>
      <w:lvlText w:val="■"/>
      <w:lvlJc w:val="left"/>
      <w:pPr>
        <w:ind w:left="2160" w:hanging="360"/>
      </w:pPr>
    </w:lvl>
    <w:lvl w:ilvl="3" w:tplc="759090FE">
      <w:start w:val="1"/>
      <w:numFmt w:val="bullet"/>
      <w:lvlText w:val="●"/>
      <w:lvlJc w:val="left"/>
      <w:pPr>
        <w:ind w:left="2880" w:hanging="360"/>
      </w:pPr>
    </w:lvl>
    <w:lvl w:ilvl="4" w:tplc="F6D04DE6">
      <w:start w:val="1"/>
      <w:numFmt w:val="bullet"/>
      <w:lvlText w:val="○"/>
      <w:lvlJc w:val="left"/>
      <w:pPr>
        <w:ind w:left="3600" w:hanging="360"/>
      </w:pPr>
    </w:lvl>
    <w:lvl w:ilvl="5" w:tplc="F19A3D2A">
      <w:start w:val="1"/>
      <w:numFmt w:val="bullet"/>
      <w:lvlText w:val="■"/>
      <w:lvlJc w:val="left"/>
      <w:pPr>
        <w:ind w:left="4320" w:hanging="360"/>
      </w:pPr>
    </w:lvl>
    <w:lvl w:ilvl="6" w:tplc="EAFEAC14">
      <w:start w:val="1"/>
      <w:numFmt w:val="bullet"/>
      <w:lvlText w:val="●"/>
      <w:lvlJc w:val="left"/>
      <w:pPr>
        <w:ind w:left="5040" w:hanging="360"/>
      </w:pPr>
    </w:lvl>
    <w:lvl w:ilvl="7" w:tplc="E7E26784">
      <w:start w:val="1"/>
      <w:numFmt w:val="bullet"/>
      <w:lvlText w:val="●"/>
      <w:lvlJc w:val="left"/>
      <w:pPr>
        <w:ind w:left="5760" w:hanging="360"/>
      </w:pPr>
    </w:lvl>
    <w:lvl w:ilvl="8" w:tplc="CA8C0A50">
      <w:start w:val="1"/>
      <w:numFmt w:val="bullet"/>
      <w:lvlText w:val="●"/>
      <w:lvlJc w:val="left"/>
      <w:pPr>
        <w:ind w:left="6480" w:hanging="360"/>
      </w:pPr>
    </w:lvl>
  </w:abstractNum>
  <w:num w:numId="1" w16cid:durableId="17731622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61"/>
    <w:rsid w:val="00511A61"/>
    <w:rsid w:val="007227EC"/>
    <w:rsid w:val="009D125B"/>
    <w:rsid w:val="00D02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229D65"/>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D02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559"/>
  </w:style>
  <w:style w:type="paragraph" w:styleId="Footer">
    <w:name w:val="footer"/>
    <w:basedOn w:val="Normal"/>
    <w:link w:val="FooterChar"/>
    <w:uiPriority w:val="99"/>
    <w:unhideWhenUsed/>
    <w:rsid w:val="00D02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640</Words>
  <Characters>3155</Characters>
  <Application>Microsoft Office Word</Application>
  <DocSecurity>0</DocSecurity>
  <Lines>60</Lines>
  <Paragraphs>39</Paragraphs>
  <ScaleCrop>false</ScaleCrop>
  <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Tender Pricing Review</dc:title>
  <dc:creator>Jack Butler-Kettle</dc:creator>
  <dc:description>Service Information Schedule for S-007 Tender Pricing Review</dc:description>
  <cp:lastModifiedBy>Jack Butler-Kettle</cp:lastModifiedBy>
  <cp:revision>2</cp:revision>
  <dcterms:created xsi:type="dcterms:W3CDTF">2026-09-09T18:22:00Z</dcterms:created>
  <dcterms:modified xsi:type="dcterms:W3CDTF">2026-09-09T18:26:00Z</dcterms:modified>
</cp:coreProperties>
</file>