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8477D" w14:textId="77777777" w:rsidR="00846DBE" w:rsidRDefault="00DC34E5">
      <w:pPr>
        <w:pStyle w:val="Title"/>
      </w:pPr>
      <w:r>
        <w:t>What I need from you</w:t>
      </w:r>
    </w:p>
    <w:p w14:paraId="28A8477E" w14:textId="77777777" w:rsidR="00846DBE" w:rsidRDefault="00DC34E5">
      <w:pPr>
        <w:pStyle w:val="ServiceSubtitle"/>
      </w:pPr>
      <w:r>
        <w:t>Set-Off &amp; Contra-Charge Defence</w:t>
      </w:r>
    </w:p>
    <w:p w14:paraId="28A8477F" w14:textId="77777777" w:rsidR="00846DBE" w:rsidRDefault="00846DBE">
      <w:pPr>
        <w:spacing w:after="160"/>
      </w:pPr>
    </w:p>
    <w:p w14:paraId="28A84780" w14:textId="77777777" w:rsidR="00846DBE" w:rsidRDefault="00DC34E5">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28A84781" w14:textId="77777777" w:rsidR="00846DBE" w:rsidRDefault="00DC34E5">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28A84782" w14:textId="77777777" w:rsidR="00846DBE" w:rsidRDefault="00846DBE">
      <w:pPr>
        <w:spacing w:after="220"/>
      </w:pPr>
    </w:p>
    <w:p w14:paraId="28A84783" w14:textId="77777777" w:rsidR="00846DBE" w:rsidRDefault="00DC34E5">
      <w:pPr>
        <w:pStyle w:val="Heading2"/>
      </w:pPr>
      <w:r>
        <w:t xml:space="preserve">1.  </w:t>
      </w:r>
      <w:r>
        <w:rPr>
          <w:sz w:val="22"/>
          <w:szCs w:val="22"/>
        </w:rPr>
        <w:t>Every contra-charge claimed, with its build-up</w:t>
      </w:r>
      <w:r>
        <w:rPr>
          <w:caps/>
          <w:color w:val="67635B"/>
          <w:sz w:val="16"/>
          <w:szCs w:val="16"/>
        </w:rPr>
        <w:t xml:space="preserve">     Essential</w:t>
      </w:r>
    </w:p>
    <w:p w14:paraId="28A84784" w14:textId="77777777" w:rsidR="00846DBE" w:rsidRDefault="00DC34E5">
      <w:pPr>
        <w:pStyle w:val="Detail"/>
      </w:pPr>
      <w:r>
        <w:rPr>
          <w:b/>
          <w:bCs/>
        </w:rPr>
        <w:t xml:space="preserve">Why I need it.  </w:t>
      </w:r>
      <w:r>
        <w:t>A contra-charge has to be built up, not asserted.</w:t>
      </w:r>
    </w:p>
    <w:p w14:paraId="28A84785" w14:textId="77777777" w:rsidR="00846DBE" w:rsidRDefault="00DC34E5">
      <w:pPr>
        <w:pStyle w:val="Detail"/>
      </w:pPr>
      <w:r>
        <w:rPr>
          <w:b/>
          <w:bCs/>
        </w:rPr>
        <w:t xml:space="preserve">Where you'll find it.  </w:t>
      </w:r>
      <w:r>
        <w:t>Attached to the pay less notice or the assessment email it arrived with.</w:t>
      </w:r>
    </w:p>
    <w:p w14:paraId="28A84786" w14:textId="77777777" w:rsidR="00846DBE" w:rsidRDefault="00DC34E5">
      <w:pPr>
        <w:pStyle w:val="Detail"/>
      </w:pPr>
      <w:r>
        <w:rPr>
          <w:b/>
          <w:bCs/>
        </w:rPr>
        <w:t xml:space="preserve">Without it.  </w:t>
      </w:r>
      <w:r>
        <w:t>A charge with no build-up cannot be tested on its figures, only on the fact that it has none, which the defence then has to prove.</w:t>
      </w:r>
    </w:p>
    <w:p w14:paraId="28A84787" w14:textId="77777777" w:rsidR="00846DBE" w:rsidRDefault="00DC34E5">
      <w:pPr>
        <w:pStyle w:val="Heading2"/>
      </w:pPr>
      <w:r>
        <w:t xml:space="preserve">2.  </w:t>
      </w:r>
      <w:r>
        <w:rPr>
          <w:sz w:val="22"/>
          <w:szCs w:val="22"/>
        </w:rPr>
        <w:t>The notices relied on, as served, with proof of service</w:t>
      </w:r>
      <w:r>
        <w:rPr>
          <w:caps/>
          <w:color w:val="67635B"/>
          <w:sz w:val="16"/>
          <w:szCs w:val="16"/>
        </w:rPr>
        <w:t xml:space="preserve">     Essential</w:t>
      </w:r>
    </w:p>
    <w:p w14:paraId="28A84788" w14:textId="77777777" w:rsidR="00846DBE" w:rsidRDefault="00DC34E5">
      <w:pPr>
        <w:pStyle w:val="Detail"/>
      </w:pPr>
      <w:r>
        <w:rPr>
          <w:b/>
          <w:bCs/>
        </w:rPr>
        <w:t xml:space="preserve">Why I need it.  </w:t>
      </w:r>
      <w:r>
        <w:t>Most set-offs fail on the notice before they fail on the merits.</w:t>
      </w:r>
    </w:p>
    <w:p w14:paraId="28A84789" w14:textId="77777777" w:rsidR="00846DBE" w:rsidRDefault="00DC34E5">
      <w:pPr>
        <w:pStyle w:val="Detail"/>
      </w:pPr>
      <w:r>
        <w:rPr>
          <w:b/>
          <w:bCs/>
        </w:rPr>
        <w:t xml:space="preserve">Where you'll find it.  </w:t>
      </w:r>
      <w:r>
        <w:t>The email that transmitted the notice, with its timestamp. Check the sent or received folder around the date the deduction says it was served.</w:t>
      </w:r>
    </w:p>
    <w:p w14:paraId="28A8478A" w14:textId="77777777" w:rsidR="00846DBE" w:rsidRDefault="00DC34E5">
      <w:pPr>
        <w:pStyle w:val="Detail"/>
      </w:pPr>
      <w:r>
        <w:rPr>
          <w:b/>
          <w:bCs/>
        </w:rPr>
        <w:t xml:space="preserve">Without it.  </w:t>
      </w:r>
      <w:r>
        <w:t>The notice point cannot be tested, and it is usually the fastest way to defeat a deduction.</w:t>
      </w:r>
    </w:p>
    <w:p w14:paraId="28A8478B" w14:textId="77777777" w:rsidR="00846DBE" w:rsidRDefault="00DC34E5">
      <w:pPr>
        <w:pStyle w:val="Heading2"/>
      </w:pPr>
      <w:r>
        <w:t xml:space="preserve">3.  </w:t>
      </w:r>
      <w:r>
        <w:rPr>
          <w:sz w:val="22"/>
          <w:szCs w:val="22"/>
        </w:rPr>
        <w:t>The executed contract and every amendment</w:t>
      </w:r>
      <w:r>
        <w:rPr>
          <w:caps/>
          <w:color w:val="67635B"/>
          <w:sz w:val="16"/>
          <w:szCs w:val="16"/>
        </w:rPr>
        <w:t xml:space="preserve">     Essential</w:t>
      </w:r>
    </w:p>
    <w:p w14:paraId="28A8478C" w14:textId="77777777" w:rsidR="00846DBE" w:rsidRDefault="00DC34E5">
      <w:pPr>
        <w:pStyle w:val="Detail"/>
      </w:pPr>
      <w:r>
        <w:rPr>
          <w:b/>
          <w:bCs/>
        </w:rPr>
        <w:t xml:space="preserve">Why I need it.  </w:t>
      </w:r>
      <w:r>
        <w:t>The set-off clause decides what can be deducted and how.</w:t>
      </w:r>
    </w:p>
    <w:p w14:paraId="28A8478D" w14:textId="77777777" w:rsidR="00846DBE" w:rsidRDefault="00DC34E5">
      <w:pPr>
        <w:pStyle w:val="Detail"/>
      </w:pPr>
      <w:r>
        <w:rPr>
          <w:b/>
          <w:bCs/>
        </w:rPr>
        <w:t xml:space="preserve">Where you'll find it.  </w:t>
      </w:r>
      <w:r>
        <w:t>The commercial folder or the order email.</w:t>
      </w:r>
    </w:p>
    <w:p w14:paraId="28A8478E" w14:textId="77777777" w:rsidR="00846DBE" w:rsidRDefault="00DC34E5">
      <w:pPr>
        <w:pStyle w:val="Detail"/>
      </w:pPr>
      <w:r>
        <w:rPr>
          <w:b/>
          <w:bCs/>
        </w:rPr>
        <w:t xml:space="preserve">Without it.  </w:t>
      </w:r>
      <w:r>
        <w:t>The deduction cannot be tested against its own conditions, so an invalid set-off can pass unchallenged.</w:t>
      </w:r>
    </w:p>
    <w:p w14:paraId="28A8478F" w14:textId="77777777" w:rsidR="00846DBE" w:rsidRDefault="00DC34E5">
      <w:pPr>
        <w:pStyle w:val="Heading2"/>
      </w:pPr>
      <w:r>
        <w:t xml:space="preserve">4.  </w:t>
      </w:r>
      <w:r>
        <w:rPr>
          <w:sz w:val="22"/>
          <w:szCs w:val="22"/>
        </w:rPr>
        <w:t>The records that rebut the charges</w:t>
      </w:r>
      <w:r>
        <w:rPr>
          <w:caps/>
          <w:color w:val="67635B"/>
          <w:sz w:val="16"/>
          <w:szCs w:val="16"/>
        </w:rPr>
        <w:t xml:space="preserve">     Important</w:t>
      </w:r>
    </w:p>
    <w:p w14:paraId="28A84790" w14:textId="77777777" w:rsidR="00846DBE" w:rsidRDefault="00DC34E5">
      <w:pPr>
        <w:pStyle w:val="Detail"/>
      </w:pPr>
      <w:r>
        <w:rPr>
          <w:b/>
          <w:bCs/>
        </w:rPr>
        <w:t xml:space="preserve">Why I need it.  </w:t>
      </w:r>
      <w:r>
        <w:t>What actually happened, against what is claimed.</w:t>
      </w:r>
    </w:p>
    <w:p w14:paraId="28A84791" w14:textId="77777777" w:rsidR="00846DBE" w:rsidRDefault="00DC34E5">
      <w:pPr>
        <w:pStyle w:val="Detail"/>
      </w:pPr>
      <w:r>
        <w:rPr>
          <w:b/>
          <w:bCs/>
        </w:rPr>
        <w:t xml:space="preserve">Where you'll find it.  </w:t>
      </w:r>
      <w:r>
        <w:t>The site office files and the team's phones.</w:t>
      </w:r>
    </w:p>
    <w:p w14:paraId="28A84792" w14:textId="77777777" w:rsidR="00846DBE" w:rsidRDefault="00DC34E5">
      <w:pPr>
        <w:pStyle w:val="Detail"/>
      </w:pPr>
      <w:r>
        <w:rPr>
          <w:b/>
          <w:bCs/>
        </w:rPr>
        <w:t xml:space="preserve">Without it.  </w:t>
      </w:r>
      <w:r>
        <w:t>Each charge stands unanswered on the facts, and the defence has nothing but assertion against assertion.</w:t>
      </w:r>
    </w:p>
    <w:p w14:paraId="28A84793" w14:textId="77777777" w:rsidR="00846DBE" w:rsidRDefault="00DC34E5">
      <w:pPr>
        <w:pStyle w:val="Heading2"/>
      </w:pPr>
      <w:r>
        <w:t xml:space="preserve">5.  </w:t>
      </w:r>
      <w:r>
        <w:rPr>
          <w:sz w:val="22"/>
          <w:szCs w:val="22"/>
        </w:rPr>
        <w:t>The valuation or account the deduction was taken from</w:t>
      </w:r>
      <w:r>
        <w:rPr>
          <w:caps/>
          <w:color w:val="67635B"/>
          <w:sz w:val="16"/>
          <w:szCs w:val="16"/>
        </w:rPr>
        <w:t xml:space="preserve">     Essential</w:t>
      </w:r>
    </w:p>
    <w:p w14:paraId="28A84794" w14:textId="77777777" w:rsidR="00846DBE" w:rsidRDefault="00DC34E5">
      <w:pPr>
        <w:pStyle w:val="Detail"/>
      </w:pPr>
      <w:r>
        <w:rPr>
          <w:b/>
          <w:bCs/>
        </w:rPr>
        <w:t xml:space="preserve">Why I need it.  </w:t>
      </w:r>
      <w:r>
        <w:t>Where the money actually came off.</w:t>
      </w:r>
    </w:p>
    <w:p w14:paraId="28A84795" w14:textId="77777777" w:rsidR="00846DBE" w:rsidRDefault="00DC34E5">
      <w:pPr>
        <w:pStyle w:val="Detail"/>
      </w:pPr>
      <w:r>
        <w:rPr>
          <w:b/>
          <w:bCs/>
        </w:rPr>
        <w:t xml:space="preserve">Where you'll find it.  </w:t>
      </w:r>
      <w:r>
        <w:t>The valuation or the payment or pay less notice the deduction appears on, and the certificate it was actually taken out of.</w:t>
      </w:r>
    </w:p>
    <w:p w14:paraId="28A84796" w14:textId="77777777" w:rsidR="00846DBE" w:rsidRDefault="00DC34E5">
      <w:pPr>
        <w:pStyle w:val="Detail"/>
      </w:pPr>
      <w:r>
        <w:rPr>
          <w:b/>
          <w:bCs/>
        </w:rPr>
        <w:t xml:space="preserve">Without it.  </w:t>
      </w:r>
      <w:r>
        <w:t>It cannot be shown exactly where the money left the account, so the deduction cannot be traced to a figure and challenged on it.</w:t>
      </w:r>
    </w:p>
    <w:p w14:paraId="28A84797" w14:textId="77777777" w:rsidR="00846DBE" w:rsidRDefault="00DC34E5">
      <w:pPr>
        <w:pStyle w:val="Heading2"/>
      </w:pPr>
      <w:r>
        <w:lastRenderedPageBreak/>
        <w:t xml:space="preserve">6.  </w:t>
      </w:r>
      <w:r>
        <w:rPr>
          <w:sz w:val="22"/>
          <w:szCs w:val="22"/>
        </w:rPr>
        <w:t>Every previous valuation for the same heads</w:t>
      </w:r>
      <w:r>
        <w:rPr>
          <w:caps/>
          <w:color w:val="67635B"/>
          <w:sz w:val="16"/>
          <w:szCs w:val="16"/>
        </w:rPr>
        <w:t xml:space="preserve">     Important</w:t>
      </w:r>
    </w:p>
    <w:p w14:paraId="28A84798" w14:textId="77777777" w:rsidR="00846DBE" w:rsidRDefault="00DC34E5">
      <w:pPr>
        <w:pStyle w:val="Detail"/>
      </w:pPr>
      <w:r>
        <w:rPr>
          <w:b/>
          <w:bCs/>
        </w:rPr>
        <w:t xml:space="preserve">Why I need it.  </w:t>
      </w:r>
      <w:r>
        <w:t>Where duplication hides.</w:t>
      </w:r>
    </w:p>
    <w:p w14:paraId="28A84799" w14:textId="77777777" w:rsidR="00846DBE" w:rsidRDefault="00DC34E5">
      <w:pPr>
        <w:pStyle w:val="Detail"/>
      </w:pPr>
      <w:r>
        <w:rPr>
          <w:b/>
          <w:bCs/>
        </w:rPr>
        <w:t xml:space="preserve">Where you'll find it.  </w:t>
      </w:r>
      <w:r>
        <w:t>The run of earlier valuations and certificates for the account, back to the first one.</w:t>
      </w:r>
    </w:p>
    <w:p w14:paraId="28A8479A" w14:textId="77777777" w:rsidR="00846DBE" w:rsidRDefault="00DC34E5">
      <w:pPr>
        <w:pStyle w:val="Detail"/>
      </w:pPr>
      <w:r>
        <w:rPr>
          <w:b/>
          <w:bCs/>
        </w:rPr>
        <w:t xml:space="preserve">Without it.  </w:t>
      </w:r>
      <w:r>
        <w:t>A charge levied twice for the same thing goes unnoticed, because only the current valuation is checked.</w:t>
      </w:r>
    </w:p>
    <w:p w14:paraId="28A8479B" w14:textId="77777777" w:rsidR="00846DBE" w:rsidRDefault="00DC34E5">
      <w:pPr>
        <w:pStyle w:val="Heading2"/>
      </w:pPr>
      <w:r>
        <w:t xml:space="preserve">7.  </w:t>
      </w:r>
      <w:r>
        <w:rPr>
          <w:sz w:val="22"/>
          <w:szCs w:val="22"/>
        </w:rPr>
        <w:t>Any period of delay relied on, and who assessed it</w:t>
      </w:r>
      <w:r>
        <w:rPr>
          <w:caps/>
          <w:color w:val="67635B"/>
          <w:sz w:val="16"/>
          <w:szCs w:val="16"/>
        </w:rPr>
        <w:t xml:space="preserve">     Important</w:t>
      </w:r>
    </w:p>
    <w:p w14:paraId="28A8479C" w14:textId="77777777" w:rsidR="00846DBE" w:rsidRDefault="00DC34E5">
      <w:pPr>
        <w:pStyle w:val="Detail"/>
      </w:pPr>
      <w:r>
        <w:rPr>
          <w:b/>
          <w:bCs/>
        </w:rPr>
        <w:t xml:space="preserve">Why I need it.  </w:t>
      </w:r>
      <w:r>
        <w:t>Adopted and attributed, never assessed here.</w:t>
      </w:r>
    </w:p>
    <w:p w14:paraId="28A8479D" w14:textId="77777777" w:rsidR="00846DBE" w:rsidRDefault="00DC34E5">
      <w:pPr>
        <w:pStyle w:val="Detail"/>
      </w:pPr>
      <w:r>
        <w:rPr>
          <w:b/>
          <w:bCs/>
        </w:rPr>
        <w:t xml:space="preserve">Where you'll find it.  </w:t>
      </w:r>
      <w:r>
        <w:t>The delay analysis or programmer's report the charge is said to depend on.</w:t>
      </w:r>
    </w:p>
    <w:p w14:paraId="28A8479E" w14:textId="77777777" w:rsidR="00846DBE" w:rsidRDefault="00DC34E5">
      <w:pPr>
        <w:pStyle w:val="Detail"/>
      </w:pPr>
      <w:r>
        <w:rPr>
          <w:b/>
          <w:bCs/>
        </w:rPr>
        <w:t xml:space="preserve">Without it.  </w:t>
      </w:r>
      <w:r>
        <w:t>A time dependent charge is carried with no period behind it, unattributed to whoever actually assessed it.</w:t>
      </w:r>
    </w:p>
    <w:p w14:paraId="28A8479F" w14:textId="77777777" w:rsidR="00846DBE" w:rsidRDefault="00DC34E5">
      <w:pPr>
        <w:pStyle w:val="Heading2"/>
      </w:pPr>
      <w:r>
        <w:t xml:space="preserve">8.  </w:t>
      </w:r>
      <w:r>
        <w:rPr>
          <w:sz w:val="22"/>
          <w:szCs w:val="22"/>
        </w:rPr>
        <w:t>Any period for responding to the notice under which the set-off was made</w:t>
      </w:r>
      <w:r>
        <w:rPr>
          <w:caps/>
          <w:color w:val="67635B"/>
          <w:sz w:val="16"/>
          <w:szCs w:val="16"/>
        </w:rPr>
        <w:t xml:space="preserve">     Essential</w:t>
      </w:r>
    </w:p>
    <w:p w14:paraId="28A847A0" w14:textId="77777777" w:rsidR="00846DBE" w:rsidRDefault="00DC34E5">
      <w:pPr>
        <w:pStyle w:val="Detail"/>
      </w:pPr>
      <w:r>
        <w:rPr>
          <w:b/>
          <w:bCs/>
        </w:rPr>
        <w:t xml:space="preserve">Why I need it.  </w:t>
      </w:r>
      <w:r>
        <w:t>This is often short and it is checked on day one.</w:t>
      </w:r>
    </w:p>
    <w:p w14:paraId="28A847A1" w14:textId="77777777" w:rsidR="00846DBE" w:rsidRDefault="00DC34E5">
      <w:pPr>
        <w:pStyle w:val="Detail"/>
      </w:pPr>
      <w:r>
        <w:rPr>
          <w:b/>
          <w:bCs/>
        </w:rPr>
        <w:t xml:space="preserve">Where you'll find it.  </w:t>
      </w:r>
      <w:r>
        <w:t>The contract clause the pay less notice was issued under, or the notice itself, which usually states the period.</w:t>
      </w:r>
    </w:p>
    <w:p w14:paraId="28A847A2" w14:textId="77777777" w:rsidR="00846DBE" w:rsidRDefault="00DC34E5">
      <w:pPr>
        <w:pStyle w:val="Detail"/>
      </w:pPr>
      <w:r>
        <w:rPr>
          <w:b/>
          <w:bCs/>
        </w:rPr>
        <w:t xml:space="preserve">Without it.  </w:t>
      </w:r>
      <w:r>
        <w:t>The response window can run out before the defence is even built, and the right to challenge the deduction can be lost on time alone.</w:t>
      </w:r>
    </w:p>
    <w:p w14:paraId="28A847A3" w14:textId="77777777" w:rsidR="00846DBE" w:rsidRDefault="00DC34E5">
      <w:pPr>
        <w:pStyle w:val="Heading1"/>
      </w:pPr>
      <w:r>
        <w:t>How to send it</w:t>
      </w:r>
    </w:p>
    <w:p w14:paraId="28A847A4" w14:textId="77777777" w:rsidR="00846DBE" w:rsidRDefault="00DC34E5">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846DBE">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398F3" w14:textId="77777777" w:rsidR="00DC34E5" w:rsidRDefault="00DC34E5">
      <w:pPr>
        <w:spacing w:after="0" w:line="240" w:lineRule="auto"/>
      </w:pPr>
      <w:r>
        <w:separator/>
      </w:r>
    </w:p>
  </w:endnote>
  <w:endnote w:type="continuationSeparator" w:id="0">
    <w:p w14:paraId="0F8B247B" w14:textId="77777777" w:rsidR="00DC34E5" w:rsidRDefault="00DC3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F7430" w14:textId="77777777" w:rsidR="00E54E02" w:rsidRDefault="00E54E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847A6" w14:textId="2CC53845" w:rsidR="00846DBE" w:rsidRDefault="00DC34E5">
    <w:pPr>
      <w:pStyle w:val="SmallPrint"/>
    </w:pPr>
    <w:r>
      <w:t xml:space="preserve">Page </w:t>
    </w:r>
    <w:r>
      <w:fldChar w:fldCharType="begin"/>
    </w:r>
    <w:r>
      <w:instrText>PAGE</w:instrText>
    </w:r>
    <w:r>
      <w:fldChar w:fldCharType="separate"/>
    </w:r>
    <w:r w:rsidR="00E54E02">
      <w:rPr>
        <w:noProof/>
      </w:rPr>
      <w:t>1</w:t>
    </w:r>
    <w:r>
      <w:fldChar w:fldCharType="end"/>
    </w:r>
    <w:r>
      <w:t xml:space="preserve"> of </w:t>
    </w:r>
    <w:r>
      <w:fldChar w:fldCharType="begin"/>
    </w:r>
    <w:r>
      <w:instrText>NUMPAGES</w:instrText>
    </w:r>
    <w:r>
      <w:fldChar w:fldCharType="separate"/>
    </w:r>
    <w:r w:rsidR="00E54E02">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D5A45" w14:textId="77777777" w:rsidR="00E54E02" w:rsidRDefault="00E54E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F0D42" w14:textId="77777777" w:rsidR="00DC34E5" w:rsidRDefault="00DC34E5">
      <w:pPr>
        <w:spacing w:after="0" w:line="240" w:lineRule="auto"/>
      </w:pPr>
      <w:r>
        <w:separator/>
      </w:r>
    </w:p>
  </w:footnote>
  <w:footnote w:type="continuationSeparator" w:id="0">
    <w:p w14:paraId="5AA8154F" w14:textId="77777777" w:rsidR="00DC34E5" w:rsidRDefault="00DC34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6F37E" w14:textId="77777777" w:rsidR="00E54E02" w:rsidRDefault="00E54E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847A5" w14:textId="77777777" w:rsidR="00846DBE" w:rsidRDefault="00DC34E5">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0E085" w14:textId="77777777" w:rsidR="00E54E02" w:rsidRDefault="00E54E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CA43A2"/>
    <w:multiLevelType w:val="hybridMultilevel"/>
    <w:tmpl w:val="D7266FFE"/>
    <w:lvl w:ilvl="0" w:tplc="F35474D0">
      <w:start w:val="1"/>
      <w:numFmt w:val="bullet"/>
      <w:lvlText w:val="●"/>
      <w:lvlJc w:val="left"/>
      <w:pPr>
        <w:ind w:left="720" w:hanging="360"/>
      </w:pPr>
    </w:lvl>
    <w:lvl w:ilvl="1" w:tplc="B11AD42A">
      <w:start w:val="1"/>
      <w:numFmt w:val="bullet"/>
      <w:lvlText w:val="○"/>
      <w:lvlJc w:val="left"/>
      <w:pPr>
        <w:ind w:left="1440" w:hanging="360"/>
      </w:pPr>
    </w:lvl>
    <w:lvl w:ilvl="2" w:tplc="048CE1A6">
      <w:start w:val="1"/>
      <w:numFmt w:val="bullet"/>
      <w:lvlText w:val="■"/>
      <w:lvlJc w:val="left"/>
      <w:pPr>
        <w:ind w:left="2160" w:hanging="360"/>
      </w:pPr>
    </w:lvl>
    <w:lvl w:ilvl="3" w:tplc="5D0400F0">
      <w:start w:val="1"/>
      <w:numFmt w:val="bullet"/>
      <w:lvlText w:val="●"/>
      <w:lvlJc w:val="left"/>
      <w:pPr>
        <w:ind w:left="2880" w:hanging="360"/>
      </w:pPr>
    </w:lvl>
    <w:lvl w:ilvl="4" w:tplc="3A902C42">
      <w:start w:val="1"/>
      <w:numFmt w:val="bullet"/>
      <w:lvlText w:val="○"/>
      <w:lvlJc w:val="left"/>
      <w:pPr>
        <w:ind w:left="3600" w:hanging="360"/>
      </w:pPr>
    </w:lvl>
    <w:lvl w:ilvl="5" w:tplc="4DBE06C0">
      <w:start w:val="1"/>
      <w:numFmt w:val="bullet"/>
      <w:lvlText w:val="■"/>
      <w:lvlJc w:val="left"/>
      <w:pPr>
        <w:ind w:left="4320" w:hanging="360"/>
      </w:pPr>
    </w:lvl>
    <w:lvl w:ilvl="6" w:tplc="39967DD8">
      <w:start w:val="1"/>
      <w:numFmt w:val="bullet"/>
      <w:lvlText w:val="●"/>
      <w:lvlJc w:val="left"/>
      <w:pPr>
        <w:ind w:left="5040" w:hanging="360"/>
      </w:pPr>
    </w:lvl>
    <w:lvl w:ilvl="7" w:tplc="2B9EB45C">
      <w:start w:val="1"/>
      <w:numFmt w:val="bullet"/>
      <w:lvlText w:val="●"/>
      <w:lvlJc w:val="left"/>
      <w:pPr>
        <w:ind w:left="5760" w:hanging="360"/>
      </w:pPr>
    </w:lvl>
    <w:lvl w:ilvl="8" w:tplc="CFDA7418">
      <w:start w:val="1"/>
      <w:numFmt w:val="bullet"/>
      <w:lvlText w:val="●"/>
      <w:lvlJc w:val="left"/>
      <w:pPr>
        <w:ind w:left="6480" w:hanging="360"/>
      </w:pPr>
    </w:lvl>
  </w:abstractNum>
  <w:num w:numId="1" w16cid:durableId="32355536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DBE"/>
    <w:rsid w:val="007227EC"/>
    <w:rsid w:val="00846DBE"/>
    <w:rsid w:val="00DC34E5"/>
    <w:rsid w:val="00E54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A8477D"/>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E54E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E02"/>
  </w:style>
  <w:style w:type="paragraph" w:styleId="Footer">
    <w:name w:val="footer"/>
    <w:basedOn w:val="Normal"/>
    <w:link w:val="FooterChar"/>
    <w:uiPriority w:val="99"/>
    <w:unhideWhenUsed/>
    <w:rsid w:val="00E54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677</Words>
  <Characters>3228</Characters>
  <Application>Microsoft Office Word</Application>
  <DocSecurity>0</DocSecurity>
  <Lines>57</Lines>
  <Paragraphs>38</Paragraphs>
  <ScaleCrop>false</ScaleCrop>
  <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Set-Off &amp; Contra-Charge Defence</dc:title>
  <dc:creator>Jack Butler-Kettle</dc:creator>
  <dc:description>Service Information Schedule for S-053 Set-Off &amp; Contra-Charge Defence</dc:description>
  <cp:lastModifiedBy>Jack Butler-Kettle</cp:lastModifiedBy>
  <cp:revision>2</cp:revision>
  <dcterms:created xsi:type="dcterms:W3CDTF">2026-09-09T18:22:00Z</dcterms:created>
  <dcterms:modified xsi:type="dcterms:W3CDTF">2026-09-09T18:32:00Z</dcterms:modified>
</cp:coreProperties>
</file>