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62D44" w14:textId="77777777" w:rsidR="00DD4302" w:rsidRDefault="003D1665">
      <w:pPr>
        <w:pStyle w:val="Title"/>
      </w:pPr>
      <w:r>
        <w:t>What I need from you</w:t>
      </w:r>
    </w:p>
    <w:p w14:paraId="0AB62D45" w14:textId="77777777" w:rsidR="00DD4302" w:rsidRDefault="003D1665">
      <w:pPr>
        <w:pStyle w:val="ServiceSubtitle"/>
      </w:pPr>
      <w:r>
        <w:t>Payment &amp; Pay Less Notice Checking &amp; Response</w:t>
      </w:r>
    </w:p>
    <w:p w14:paraId="0AB62D46" w14:textId="77777777" w:rsidR="00DD4302" w:rsidRDefault="00DD4302">
      <w:pPr>
        <w:spacing w:after="160"/>
      </w:pPr>
    </w:p>
    <w:p w14:paraId="0AB62D47" w14:textId="77777777" w:rsidR="00DD4302" w:rsidRDefault="003D1665">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0AB62D48" w14:textId="77777777" w:rsidR="00DD4302" w:rsidRDefault="003D1665">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0AB62D49" w14:textId="77777777" w:rsidR="00DD4302" w:rsidRDefault="00DD4302">
      <w:pPr>
        <w:spacing w:after="220"/>
      </w:pPr>
    </w:p>
    <w:p w14:paraId="0AB62D4A" w14:textId="77777777" w:rsidR="00DD4302" w:rsidRDefault="003D1665">
      <w:pPr>
        <w:pStyle w:val="Heading2"/>
      </w:pPr>
      <w:r>
        <w:t xml:space="preserve">1.  </w:t>
      </w:r>
      <w:r>
        <w:rPr>
          <w:sz w:val="22"/>
          <w:szCs w:val="22"/>
        </w:rPr>
        <w:t>The notice received, as received</w:t>
      </w:r>
      <w:r>
        <w:rPr>
          <w:caps/>
          <w:color w:val="67635B"/>
          <w:sz w:val="16"/>
          <w:szCs w:val="16"/>
        </w:rPr>
        <w:t xml:space="preserve">     Essential</w:t>
      </w:r>
    </w:p>
    <w:p w14:paraId="0AB62D4B" w14:textId="77777777" w:rsidR="00DD4302" w:rsidRDefault="003D1665">
      <w:pPr>
        <w:pStyle w:val="Detail"/>
      </w:pPr>
      <w:r>
        <w:rPr>
          <w:b/>
          <w:bCs/>
        </w:rPr>
        <w:t xml:space="preserve">Why I need it.  </w:t>
      </w:r>
      <w:r>
        <w:t>The document whose validity is in question.</w:t>
      </w:r>
    </w:p>
    <w:p w14:paraId="0AB62D4C" w14:textId="77777777" w:rsidR="00DD4302" w:rsidRDefault="003D1665">
      <w:pPr>
        <w:pStyle w:val="Detail"/>
      </w:pPr>
      <w:r>
        <w:rPr>
          <w:b/>
          <w:bCs/>
        </w:rPr>
        <w:t xml:space="preserve">Where you'll find it.  </w:t>
      </w:r>
      <w:r>
        <w:t>The inbox of whoever the payer sends them to.</w:t>
      </w:r>
    </w:p>
    <w:p w14:paraId="0AB62D4D" w14:textId="77777777" w:rsidR="00DD4302" w:rsidRDefault="003D1665">
      <w:pPr>
        <w:pStyle w:val="Detail"/>
      </w:pPr>
      <w:r>
        <w:rPr>
          <w:b/>
          <w:bCs/>
        </w:rPr>
        <w:t xml:space="preserve">Without it.  </w:t>
      </w:r>
      <w:r>
        <w:t>There is no document whose validity is even in question, so the review cannot start.</w:t>
      </w:r>
    </w:p>
    <w:p w14:paraId="0AB62D4E" w14:textId="77777777" w:rsidR="00DD4302" w:rsidRDefault="003D1665">
      <w:pPr>
        <w:pStyle w:val="Heading2"/>
      </w:pPr>
      <w:r>
        <w:t xml:space="preserve">2.  </w:t>
      </w:r>
      <w:r>
        <w:rPr>
          <w:sz w:val="22"/>
          <w:szCs w:val="22"/>
        </w:rPr>
        <w:t>The application it responds to</w:t>
      </w:r>
      <w:r>
        <w:rPr>
          <w:caps/>
          <w:color w:val="67635B"/>
          <w:sz w:val="16"/>
          <w:szCs w:val="16"/>
        </w:rPr>
        <w:t xml:space="preserve">     Essential</w:t>
      </w:r>
    </w:p>
    <w:p w14:paraId="0AB62D4F" w14:textId="77777777" w:rsidR="00DD4302" w:rsidRDefault="003D1665">
      <w:pPr>
        <w:pStyle w:val="Detail"/>
      </w:pPr>
      <w:r>
        <w:rPr>
          <w:b/>
          <w:bCs/>
        </w:rPr>
        <w:t xml:space="preserve">Why I need it.  </w:t>
      </w:r>
      <w:r>
        <w:t>What it is answering.</w:t>
      </w:r>
    </w:p>
    <w:p w14:paraId="0AB62D50" w14:textId="77777777" w:rsidR="00DD4302" w:rsidRDefault="003D1665">
      <w:pPr>
        <w:pStyle w:val="Detail"/>
      </w:pPr>
      <w:r>
        <w:rPr>
          <w:b/>
          <w:bCs/>
        </w:rPr>
        <w:t xml:space="preserve">Where you'll find it.  </w:t>
      </w:r>
      <w:r>
        <w:t>The payment folder or the sent items of whoever issued it.</w:t>
      </w:r>
    </w:p>
    <w:p w14:paraId="0AB62D51" w14:textId="77777777" w:rsidR="00DD4302" w:rsidRDefault="003D1665">
      <w:pPr>
        <w:pStyle w:val="Detail"/>
      </w:pPr>
      <w:r>
        <w:rPr>
          <w:b/>
          <w:bCs/>
        </w:rPr>
        <w:t xml:space="preserve">Without it.  </w:t>
      </w:r>
      <w:r>
        <w:t>There is nothing to test the notice against, so whether it answers the right application, for the right sum, cannot be checked.</w:t>
      </w:r>
    </w:p>
    <w:p w14:paraId="0AB62D52" w14:textId="77777777" w:rsidR="00DD4302" w:rsidRDefault="003D1665">
      <w:pPr>
        <w:pStyle w:val="Heading2"/>
      </w:pPr>
      <w:r>
        <w:t xml:space="preserve">3.  </w:t>
      </w:r>
      <w:r>
        <w:rPr>
          <w:sz w:val="22"/>
          <w:szCs w:val="22"/>
        </w:rPr>
        <w:t>The subcontract and every amendment</w:t>
      </w:r>
      <w:r>
        <w:rPr>
          <w:caps/>
          <w:color w:val="67635B"/>
          <w:sz w:val="16"/>
          <w:szCs w:val="16"/>
        </w:rPr>
        <w:t xml:space="preserve">     Essential</w:t>
      </w:r>
    </w:p>
    <w:p w14:paraId="0AB62D53" w14:textId="77777777" w:rsidR="00DD4302" w:rsidRDefault="003D1665">
      <w:pPr>
        <w:pStyle w:val="Detail"/>
      </w:pPr>
      <w:r>
        <w:rPr>
          <w:b/>
          <w:bCs/>
        </w:rPr>
        <w:t xml:space="preserve">Why I need it.  </w:t>
      </w:r>
      <w:r>
        <w:t>The clauses that decide validity: the payment clauses, the notices clause, and the applications clause with any condition precedent wording, which the work tests your own application against.</w:t>
      </w:r>
    </w:p>
    <w:p w14:paraId="0AB62D54" w14:textId="77777777" w:rsidR="00DD4302" w:rsidRDefault="003D1665">
      <w:pPr>
        <w:pStyle w:val="Detail"/>
      </w:pPr>
      <w:r>
        <w:rPr>
          <w:b/>
          <w:bCs/>
        </w:rPr>
        <w:t xml:space="preserve">Where you'll find it.  </w:t>
      </w:r>
      <w:r>
        <w:t>The job's commercial folder or the order email normally holds the signed copy.</w:t>
      </w:r>
    </w:p>
    <w:p w14:paraId="0AB62D55" w14:textId="77777777" w:rsidR="00DD4302" w:rsidRDefault="003D1665">
      <w:pPr>
        <w:pStyle w:val="Detail"/>
      </w:pPr>
      <w:r>
        <w:rPr>
          <w:b/>
          <w:bCs/>
        </w:rPr>
        <w:t xml:space="preserve">Without it.  </w:t>
      </w:r>
      <w:r>
        <w:t>There are no clauses to test the notice against, so validity cannot be assessed at all, and the application cannot be tested either, so no notified sum can be calculated.</w:t>
      </w:r>
    </w:p>
    <w:p w14:paraId="0AB62D56" w14:textId="77777777" w:rsidR="00DD4302" w:rsidRDefault="003D1665">
      <w:pPr>
        <w:pStyle w:val="Heading2"/>
      </w:pPr>
      <w:r>
        <w:t xml:space="preserve">4.  </w:t>
      </w:r>
      <w:r>
        <w:rPr>
          <w:sz w:val="22"/>
          <w:szCs w:val="22"/>
        </w:rPr>
        <w:t>Proof of the dates of service, both ways</w:t>
      </w:r>
      <w:r>
        <w:rPr>
          <w:caps/>
          <w:color w:val="67635B"/>
          <w:sz w:val="16"/>
          <w:szCs w:val="16"/>
        </w:rPr>
        <w:t xml:space="preserve">     Important</w:t>
      </w:r>
    </w:p>
    <w:p w14:paraId="0AB62D57" w14:textId="77777777" w:rsidR="00DD4302" w:rsidRDefault="003D1665">
      <w:pPr>
        <w:pStyle w:val="Detail"/>
      </w:pPr>
      <w:r>
        <w:rPr>
          <w:b/>
          <w:bCs/>
        </w:rPr>
        <w:t xml:space="preserve">Why I need it.  </w:t>
      </w:r>
      <w:r>
        <w:t>Validity usually turns on a date.</w:t>
      </w:r>
    </w:p>
    <w:p w14:paraId="0AB62D58" w14:textId="77777777" w:rsidR="00DD4302" w:rsidRDefault="003D1665">
      <w:pPr>
        <w:pStyle w:val="Detail"/>
      </w:pPr>
      <w:r>
        <w:rPr>
          <w:b/>
          <w:bCs/>
        </w:rPr>
        <w:t xml:space="preserve">Where you'll find it.  </w:t>
      </w:r>
      <w:r>
        <w:t>The original sent email with its headers for your own application, and the payer's covering email for their notice; forwarded copies with the headers stripped will not fix the date.</w:t>
      </w:r>
    </w:p>
    <w:p w14:paraId="0AB62D59" w14:textId="77777777" w:rsidR="00DD4302" w:rsidRDefault="003D1665">
      <w:pPr>
        <w:pStyle w:val="Detail"/>
      </w:pPr>
      <w:r>
        <w:rPr>
          <w:b/>
          <w:bCs/>
        </w:rPr>
        <w:t xml:space="preserve">Without it.  </w:t>
      </w:r>
      <w:r>
        <w:t>The date the notice arrived is taken from what the notice itself says or from your covering email, not from proof, so a validity finding that turns on timing is only as good as an unproven date.</w:t>
      </w:r>
    </w:p>
    <w:p w14:paraId="0AB62D5A" w14:textId="77777777" w:rsidR="00DD4302" w:rsidRDefault="003D1665" w:rsidP="00C811B3">
      <w:pPr>
        <w:pStyle w:val="Heading2"/>
      </w:pPr>
      <w:r>
        <w:lastRenderedPageBreak/>
        <w:t xml:space="preserve">5.  </w:t>
      </w:r>
      <w:r>
        <w:rPr>
          <w:sz w:val="22"/>
          <w:szCs w:val="22"/>
        </w:rPr>
        <w:t>The previous cycle's notices</w:t>
      </w:r>
      <w:r>
        <w:rPr>
          <w:caps/>
          <w:color w:val="67635B"/>
          <w:sz w:val="16"/>
          <w:szCs w:val="16"/>
        </w:rPr>
        <w:t xml:space="preserve">     Optional</w:t>
      </w:r>
    </w:p>
    <w:p w14:paraId="0AB62D5B" w14:textId="77777777" w:rsidR="00DD4302" w:rsidRDefault="003D1665" w:rsidP="00C811B3">
      <w:pPr>
        <w:pStyle w:val="Detail"/>
        <w:keepNext/>
      </w:pPr>
      <w:r>
        <w:rPr>
          <w:b/>
          <w:bCs/>
        </w:rPr>
        <w:t xml:space="preserve">Why I need it.  </w:t>
      </w:r>
      <w:r>
        <w:t>What the pattern was last cycle.</w:t>
      </w:r>
    </w:p>
    <w:p w14:paraId="0AB62D5C" w14:textId="77777777" w:rsidR="00DD4302" w:rsidRDefault="003D1665" w:rsidP="00C811B3">
      <w:pPr>
        <w:pStyle w:val="Detail"/>
        <w:keepNext/>
      </w:pPr>
      <w:r>
        <w:rPr>
          <w:b/>
          <w:bCs/>
        </w:rPr>
        <w:t xml:space="preserve">Where you'll find it.  </w:t>
      </w:r>
      <w:r>
        <w:t>The same inbox that received this cycle's notice, one cycle back, if you keep them.</w:t>
      </w:r>
    </w:p>
    <w:p w14:paraId="0AB62D5D" w14:textId="77777777" w:rsidR="00DD4302" w:rsidRDefault="003D1665" w:rsidP="00C811B3">
      <w:pPr>
        <w:pStyle w:val="Detail"/>
        <w:keepNext/>
      </w:pPr>
      <w:r>
        <w:rPr>
          <w:b/>
          <w:bCs/>
        </w:rPr>
        <w:t xml:space="preserve">Without it.  </w:t>
      </w:r>
      <w:r>
        <w:t>There is nothing to compare this cycle's pattern against; the review still runs on this cycle alone.</w:t>
      </w:r>
    </w:p>
    <w:p w14:paraId="0AB62D5E" w14:textId="77777777" w:rsidR="00DD4302" w:rsidRDefault="003D1665" w:rsidP="00C811B3">
      <w:pPr>
        <w:pStyle w:val="Heading1"/>
      </w:pPr>
      <w:r>
        <w:t>How to send it</w:t>
      </w:r>
    </w:p>
    <w:p w14:paraId="0AB62D5F" w14:textId="77777777" w:rsidR="00DD4302" w:rsidRDefault="003D1665">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DD4302">
      <w:headerReference w:type="default" r:id="rId7"/>
      <w:footerReference w:type="default" r:id="rId8"/>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71E8A" w14:textId="77777777" w:rsidR="00980594" w:rsidRDefault="00980594">
      <w:pPr>
        <w:spacing w:after="0" w:line="240" w:lineRule="auto"/>
      </w:pPr>
      <w:r>
        <w:separator/>
      </w:r>
    </w:p>
  </w:endnote>
  <w:endnote w:type="continuationSeparator" w:id="0">
    <w:p w14:paraId="46CE0AF7" w14:textId="77777777" w:rsidR="00980594" w:rsidRDefault="00980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62D61" w14:textId="630792EF" w:rsidR="00DD4302" w:rsidRDefault="003D1665">
    <w:pPr>
      <w:pStyle w:val="SmallPrint"/>
    </w:pPr>
    <w:r>
      <w:t xml:space="preserve">Page </w:t>
    </w:r>
    <w:r>
      <w:fldChar w:fldCharType="begin"/>
    </w:r>
    <w:r>
      <w:instrText>PAGE</w:instrText>
    </w:r>
    <w:r>
      <w:fldChar w:fldCharType="separate"/>
    </w:r>
    <w:r w:rsidR="004C6AE2">
      <w:rPr>
        <w:noProof/>
      </w:rPr>
      <w:t>1</w:t>
    </w:r>
    <w:r>
      <w:fldChar w:fldCharType="end"/>
    </w:r>
    <w:r>
      <w:t xml:space="preserve"> of </w:t>
    </w:r>
    <w:r>
      <w:fldChar w:fldCharType="begin"/>
    </w:r>
    <w:r>
      <w:instrText>NUMPAGES</w:instrText>
    </w:r>
    <w:r>
      <w:fldChar w:fldCharType="separate"/>
    </w:r>
    <w:r w:rsidR="004C6AE2">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ED150" w14:textId="77777777" w:rsidR="00980594" w:rsidRDefault="00980594">
      <w:pPr>
        <w:spacing w:after="0" w:line="240" w:lineRule="auto"/>
      </w:pPr>
      <w:r>
        <w:separator/>
      </w:r>
    </w:p>
  </w:footnote>
  <w:footnote w:type="continuationSeparator" w:id="0">
    <w:p w14:paraId="66964AAB" w14:textId="77777777" w:rsidR="00980594" w:rsidRDefault="009805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62D60" w14:textId="77777777" w:rsidR="00DD4302" w:rsidRDefault="003D1665">
    <w:pPr>
      <w:spacing w:after="240"/>
    </w:pPr>
    <w:r>
      <w:rPr>
        <w:b/>
        <w:bCs/>
        <w:spacing w:val="40"/>
        <w:sz w:val="18"/>
        <w:szCs w:val="18"/>
      </w:rPr>
      <w:t>JACK BUTLER-KETTLE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35150"/>
    <w:multiLevelType w:val="hybridMultilevel"/>
    <w:tmpl w:val="67DE499C"/>
    <w:lvl w:ilvl="0" w:tplc="48C6347C">
      <w:start w:val="1"/>
      <w:numFmt w:val="bullet"/>
      <w:lvlText w:val="●"/>
      <w:lvlJc w:val="left"/>
      <w:pPr>
        <w:ind w:left="720" w:hanging="360"/>
      </w:pPr>
    </w:lvl>
    <w:lvl w:ilvl="1" w:tplc="E2E89BC6">
      <w:start w:val="1"/>
      <w:numFmt w:val="bullet"/>
      <w:lvlText w:val="○"/>
      <w:lvlJc w:val="left"/>
      <w:pPr>
        <w:ind w:left="1440" w:hanging="360"/>
      </w:pPr>
    </w:lvl>
    <w:lvl w:ilvl="2" w:tplc="9874164A">
      <w:start w:val="1"/>
      <w:numFmt w:val="bullet"/>
      <w:lvlText w:val="■"/>
      <w:lvlJc w:val="left"/>
      <w:pPr>
        <w:ind w:left="2160" w:hanging="360"/>
      </w:pPr>
    </w:lvl>
    <w:lvl w:ilvl="3" w:tplc="62DA9C0C">
      <w:start w:val="1"/>
      <w:numFmt w:val="bullet"/>
      <w:lvlText w:val="●"/>
      <w:lvlJc w:val="left"/>
      <w:pPr>
        <w:ind w:left="2880" w:hanging="360"/>
      </w:pPr>
    </w:lvl>
    <w:lvl w:ilvl="4" w:tplc="E4F40558">
      <w:start w:val="1"/>
      <w:numFmt w:val="bullet"/>
      <w:lvlText w:val="○"/>
      <w:lvlJc w:val="left"/>
      <w:pPr>
        <w:ind w:left="3600" w:hanging="360"/>
      </w:pPr>
    </w:lvl>
    <w:lvl w:ilvl="5" w:tplc="7BEA4192">
      <w:start w:val="1"/>
      <w:numFmt w:val="bullet"/>
      <w:lvlText w:val="■"/>
      <w:lvlJc w:val="left"/>
      <w:pPr>
        <w:ind w:left="4320" w:hanging="360"/>
      </w:pPr>
    </w:lvl>
    <w:lvl w:ilvl="6" w:tplc="D63E9884">
      <w:start w:val="1"/>
      <w:numFmt w:val="bullet"/>
      <w:lvlText w:val="●"/>
      <w:lvlJc w:val="left"/>
      <w:pPr>
        <w:ind w:left="5040" w:hanging="360"/>
      </w:pPr>
    </w:lvl>
    <w:lvl w:ilvl="7" w:tplc="8278BF78">
      <w:start w:val="1"/>
      <w:numFmt w:val="bullet"/>
      <w:lvlText w:val="●"/>
      <w:lvlJc w:val="left"/>
      <w:pPr>
        <w:ind w:left="5760" w:hanging="360"/>
      </w:pPr>
    </w:lvl>
    <w:lvl w:ilvl="8" w:tplc="CF9E682A">
      <w:start w:val="1"/>
      <w:numFmt w:val="bullet"/>
      <w:lvlText w:val="●"/>
      <w:lvlJc w:val="left"/>
      <w:pPr>
        <w:ind w:left="6480" w:hanging="360"/>
      </w:pPr>
    </w:lvl>
  </w:abstractNum>
  <w:num w:numId="1" w16cid:durableId="71081093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302"/>
    <w:rsid w:val="001F24F2"/>
    <w:rsid w:val="003D1665"/>
    <w:rsid w:val="004C6AE2"/>
    <w:rsid w:val="007227EC"/>
    <w:rsid w:val="00980594"/>
    <w:rsid w:val="00C811B3"/>
    <w:rsid w:val="00DD4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B62D44"/>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4C6A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AE2"/>
  </w:style>
  <w:style w:type="paragraph" w:styleId="Footer">
    <w:name w:val="footer"/>
    <w:basedOn w:val="Normal"/>
    <w:link w:val="FooterChar"/>
    <w:uiPriority w:val="99"/>
    <w:unhideWhenUsed/>
    <w:rsid w:val="004C6A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A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512</Words>
  <Characters>2459</Characters>
  <Application>Microsoft Office Word</Application>
  <DocSecurity>0</DocSecurity>
  <Lines>42</Lines>
  <Paragraphs>26</Paragraphs>
  <ScaleCrop>false</ScaleCrop>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Payment &amp; Pay Less Notice Checking &amp; Response</dc:title>
  <dc:creator>Jack Butler-Kettle</dc:creator>
  <dc:description>Service Information Schedule for S-016 Payment &amp; Pay Less Notice Checking &amp; Response</dc:description>
  <cp:lastModifiedBy>Jack Butler-Kettle</cp:lastModifiedBy>
  <cp:revision>3</cp:revision>
  <dcterms:created xsi:type="dcterms:W3CDTF">2026-09-09T18:59:00Z</dcterms:created>
  <dcterms:modified xsi:type="dcterms:W3CDTF">2026-09-09T18:59:00Z</dcterms:modified>
</cp:coreProperties>
</file>