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7BFED" w14:textId="77777777" w:rsidR="00085840" w:rsidRDefault="007B3DD6">
      <w:pPr>
        <w:pStyle w:val="Title"/>
      </w:pPr>
      <w:r>
        <w:t>What I need from you</w:t>
      </w:r>
    </w:p>
    <w:p w14:paraId="74C7BFEE" w14:textId="77777777" w:rsidR="00085840" w:rsidRDefault="007B3DD6">
      <w:pPr>
        <w:pStyle w:val="ServiceSubtitle"/>
      </w:pPr>
      <w:r>
        <w:t>The s.110B Back-Audit</w:t>
      </w:r>
    </w:p>
    <w:p w14:paraId="74C7BFEF" w14:textId="77777777" w:rsidR="00085840" w:rsidRDefault="00085840">
      <w:pPr>
        <w:spacing w:after="160"/>
      </w:pPr>
    </w:p>
    <w:p w14:paraId="74C7BFF0" w14:textId="77777777" w:rsidR="00085840" w:rsidRDefault="007B3DD6">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74C7BFF1" w14:textId="77777777" w:rsidR="00085840" w:rsidRDefault="007B3DD6">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74C7BFF2" w14:textId="77777777" w:rsidR="00085840" w:rsidRDefault="00085840">
      <w:pPr>
        <w:spacing w:after="220"/>
      </w:pPr>
    </w:p>
    <w:p w14:paraId="74C7BFF3" w14:textId="77777777" w:rsidR="00085840" w:rsidRDefault="007B3DD6">
      <w:pPr>
        <w:pStyle w:val="Heading2"/>
      </w:pPr>
      <w:r>
        <w:t xml:space="preserve">1.  </w:t>
      </w:r>
      <w:r>
        <w:rPr>
          <w:sz w:val="22"/>
          <w:szCs w:val="22"/>
        </w:rPr>
        <w:t>Every past cycle's application, notice and certificate</w:t>
      </w:r>
      <w:r>
        <w:rPr>
          <w:caps/>
          <w:color w:val="67635B"/>
          <w:sz w:val="16"/>
          <w:szCs w:val="16"/>
        </w:rPr>
        <w:t xml:space="preserve">     Essential</w:t>
      </w:r>
    </w:p>
    <w:p w14:paraId="74C7BFF4" w14:textId="77777777" w:rsidR="00085840" w:rsidRDefault="007B3DD6">
      <w:pPr>
        <w:pStyle w:val="Detail"/>
      </w:pPr>
      <w:r>
        <w:rPr>
          <w:b/>
          <w:bCs/>
        </w:rPr>
        <w:t xml:space="preserve">Why I need it.  </w:t>
      </w:r>
      <w:r>
        <w:t>The audit is of the cycles, so every cycle is needed.</w:t>
      </w:r>
    </w:p>
    <w:p w14:paraId="74C7BFF5" w14:textId="77777777" w:rsidR="00085840" w:rsidRDefault="007B3DD6">
      <w:pPr>
        <w:pStyle w:val="Detail"/>
      </w:pPr>
      <w:r>
        <w:rPr>
          <w:b/>
          <w:bCs/>
        </w:rPr>
        <w:t xml:space="preserve">Where you'll find it.  </w:t>
      </w:r>
      <w:r>
        <w:t>The sent items of whoever issues your applications, month by month; forwarding the original emails carries the service dates with them.</w:t>
      </w:r>
    </w:p>
    <w:p w14:paraId="74C7BFF6" w14:textId="77777777" w:rsidR="00085840" w:rsidRDefault="007B3DD6">
      <w:pPr>
        <w:pStyle w:val="Detail"/>
      </w:pPr>
      <w:r>
        <w:rPr>
          <w:b/>
          <w:bCs/>
        </w:rPr>
        <w:t xml:space="preserve">Without it.  </w:t>
      </w:r>
      <w:r>
        <w:t>That cycle cannot be audited, and it is left blank rather than assessed</w:t>
      </w:r>
    </w:p>
    <w:p w14:paraId="74C7BFF7" w14:textId="77777777" w:rsidR="00085840" w:rsidRDefault="007B3DD6">
      <w:pPr>
        <w:pStyle w:val="Heading2"/>
      </w:pPr>
      <w:r>
        <w:t xml:space="preserve">2.  </w:t>
      </w:r>
      <w:r>
        <w:rPr>
          <w:sz w:val="22"/>
          <w:szCs w:val="22"/>
        </w:rPr>
        <w:t>Payment records</w:t>
      </w:r>
      <w:r>
        <w:rPr>
          <w:caps/>
          <w:color w:val="67635B"/>
          <w:sz w:val="16"/>
          <w:szCs w:val="16"/>
        </w:rPr>
        <w:t xml:space="preserve">     Essential</w:t>
      </w:r>
    </w:p>
    <w:p w14:paraId="74C7BFF8" w14:textId="77777777" w:rsidR="00085840" w:rsidRDefault="007B3DD6">
      <w:pPr>
        <w:pStyle w:val="Detail"/>
      </w:pPr>
      <w:r>
        <w:rPr>
          <w:b/>
          <w:bCs/>
        </w:rPr>
        <w:t xml:space="preserve">Why I need it.  </w:t>
      </w:r>
      <w:r>
        <w:t>What was actually paid against what fell due.</w:t>
      </w:r>
    </w:p>
    <w:p w14:paraId="74C7BFF9" w14:textId="77777777" w:rsidR="00085840" w:rsidRDefault="007B3DD6">
      <w:pPr>
        <w:pStyle w:val="Detail"/>
      </w:pPr>
      <w:r>
        <w:rPr>
          <w:b/>
          <w:bCs/>
        </w:rPr>
        <w:t xml:space="preserve">Where you'll find it.  </w:t>
      </w:r>
      <w:r>
        <w:t>Your accounts package or bank statements show what landed and when.</w:t>
      </w:r>
    </w:p>
    <w:p w14:paraId="74C7BFFA" w14:textId="77777777" w:rsidR="00085840" w:rsidRDefault="007B3DD6">
      <w:pPr>
        <w:pStyle w:val="Detail"/>
      </w:pPr>
      <w:r>
        <w:rPr>
          <w:b/>
          <w:bCs/>
        </w:rPr>
        <w:t xml:space="preserve">Without it.  </w:t>
      </w:r>
      <w:r>
        <w:t>There is nothing to test what was actually paid against what fell due, and the exposure figure cannot be built</w:t>
      </w:r>
    </w:p>
    <w:p w14:paraId="74C7BFFB" w14:textId="77777777" w:rsidR="00085840" w:rsidRDefault="007B3DD6">
      <w:pPr>
        <w:pStyle w:val="Heading2"/>
      </w:pPr>
      <w:r>
        <w:t xml:space="preserve">3.  </w:t>
      </w:r>
      <w:r>
        <w:rPr>
          <w:sz w:val="22"/>
          <w:szCs w:val="22"/>
        </w:rPr>
        <w:t>The contract and every amendment</w:t>
      </w:r>
      <w:r>
        <w:rPr>
          <w:caps/>
          <w:color w:val="67635B"/>
          <w:sz w:val="16"/>
          <w:szCs w:val="16"/>
        </w:rPr>
        <w:t xml:space="preserve">     Essential</w:t>
      </w:r>
    </w:p>
    <w:p w14:paraId="74C7BFFC" w14:textId="77777777" w:rsidR="00085840" w:rsidRDefault="007B3DD6">
      <w:pPr>
        <w:pStyle w:val="Detail"/>
      </w:pPr>
      <w:r>
        <w:rPr>
          <w:b/>
          <w:bCs/>
        </w:rPr>
        <w:t xml:space="preserve">Why I need it.  </w:t>
      </w:r>
      <w:r>
        <w:t>Every question of validity is answered from here.</w:t>
      </w:r>
    </w:p>
    <w:p w14:paraId="74C7BFFD" w14:textId="77777777" w:rsidR="00085840" w:rsidRDefault="007B3DD6">
      <w:pPr>
        <w:pStyle w:val="Detail"/>
      </w:pPr>
      <w:r>
        <w:rPr>
          <w:b/>
          <w:bCs/>
        </w:rPr>
        <w:t xml:space="preserve">Where you'll find it.  </w:t>
      </w:r>
      <w:r>
        <w:t>The signed contract in the commercial folder or attached to the order email.</w:t>
      </w:r>
    </w:p>
    <w:p w14:paraId="74C7BFFE" w14:textId="77777777" w:rsidR="00085840" w:rsidRDefault="007B3DD6">
      <w:pPr>
        <w:pStyle w:val="Detail"/>
      </w:pPr>
      <w:r>
        <w:rPr>
          <w:b/>
          <w:bCs/>
        </w:rPr>
        <w:t xml:space="preserve">Without it.  </w:t>
      </w:r>
      <w:r>
        <w:t>There is nothing to measure any cycle's dates against, and the audit cannot run</w:t>
      </w:r>
    </w:p>
    <w:p w14:paraId="74C7BFFF" w14:textId="77777777" w:rsidR="00085840" w:rsidRDefault="007B3DD6">
      <w:pPr>
        <w:pStyle w:val="Heading2"/>
      </w:pPr>
      <w:r>
        <w:t xml:space="preserve">4.  </w:t>
      </w:r>
      <w:r>
        <w:rPr>
          <w:sz w:val="22"/>
          <w:szCs w:val="22"/>
        </w:rPr>
        <w:t>Proof of the dates of service, both ways</w:t>
      </w:r>
      <w:r>
        <w:rPr>
          <w:caps/>
          <w:color w:val="67635B"/>
          <w:sz w:val="16"/>
          <w:szCs w:val="16"/>
        </w:rPr>
        <w:t xml:space="preserve">     Important</w:t>
      </w:r>
    </w:p>
    <w:p w14:paraId="74C7C000" w14:textId="77777777" w:rsidR="00085840" w:rsidRDefault="007B3DD6">
      <w:pPr>
        <w:pStyle w:val="Detail"/>
      </w:pPr>
      <w:r>
        <w:rPr>
          <w:b/>
          <w:bCs/>
        </w:rPr>
        <w:t xml:space="preserve">Why I need it.  </w:t>
      </w:r>
      <w:r>
        <w:t>Service dates decide most of the answers.</w:t>
      </w:r>
    </w:p>
    <w:p w14:paraId="74C7C001" w14:textId="77777777" w:rsidR="00085840" w:rsidRDefault="007B3DD6">
      <w:pPr>
        <w:pStyle w:val="Detail"/>
      </w:pPr>
      <w:r>
        <w:rPr>
          <w:b/>
          <w:bCs/>
        </w:rPr>
        <w:t xml:space="preserve">Where you'll find it.  </w:t>
      </w:r>
      <w:r>
        <w:t>The original sent items for what you served, and the original received items for what came back from the other side; forwarded copies with headers intact fix the dates, not screenshots or recollection.</w:t>
      </w:r>
    </w:p>
    <w:p w14:paraId="74C7C002" w14:textId="77777777" w:rsidR="00085840" w:rsidRDefault="007B3DD6">
      <w:pPr>
        <w:pStyle w:val="Detail"/>
      </w:pPr>
      <w:r>
        <w:rPr>
          <w:b/>
          <w:bCs/>
        </w:rPr>
        <w:t xml:space="preserve">What good looks like.  </w:t>
      </w:r>
      <w:r>
        <w:t>the original email with headers, or a recorded delivery receipt.</w:t>
      </w:r>
    </w:p>
    <w:p w14:paraId="74C7C003" w14:textId="77777777" w:rsidR="00085840" w:rsidRDefault="007B3DD6">
      <w:pPr>
        <w:pStyle w:val="Detail"/>
      </w:pPr>
      <w:r>
        <w:rPr>
          <w:b/>
          <w:bCs/>
        </w:rPr>
        <w:t xml:space="preserve">Without it.  </w:t>
      </w:r>
      <w:r>
        <w:t>The service date rests on recollection, and that cycle is reported on the conservative reading with both readings stated</w:t>
      </w:r>
    </w:p>
    <w:p w14:paraId="74C7C004" w14:textId="77777777" w:rsidR="00085840" w:rsidRDefault="007B3DD6">
      <w:pPr>
        <w:pStyle w:val="Heading1"/>
      </w:pPr>
      <w:r>
        <w:t>How to send it</w:t>
      </w:r>
    </w:p>
    <w:p w14:paraId="74C7C005" w14:textId="77777777" w:rsidR="00085840" w:rsidRDefault="007B3DD6">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085840">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2E6B3" w14:textId="77777777" w:rsidR="007B3DD6" w:rsidRDefault="007B3DD6">
      <w:pPr>
        <w:spacing w:after="0" w:line="240" w:lineRule="auto"/>
      </w:pPr>
      <w:r>
        <w:separator/>
      </w:r>
    </w:p>
  </w:endnote>
  <w:endnote w:type="continuationSeparator" w:id="0">
    <w:p w14:paraId="3516AB19" w14:textId="77777777" w:rsidR="007B3DD6" w:rsidRDefault="007B3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BFA59" w14:textId="77777777" w:rsidR="00902BF2" w:rsidRDefault="00902B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7C007" w14:textId="66E340C2" w:rsidR="00085840" w:rsidRDefault="007B3DD6">
    <w:pPr>
      <w:pStyle w:val="SmallPrint"/>
    </w:pPr>
    <w:r>
      <w:t xml:space="preserve">Page </w:t>
    </w:r>
    <w:r>
      <w:fldChar w:fldCharType="begin"/>
    </w:r>
    <w:r>
      <w:instrText>PAGE</w:instrText>
    </w:r>
    <w:r>
      <w:fldChar w:fldCharType="separate"/>
    </w:r>
    <w:r w:rsidR="00902BF2">
      <w:rPr>
        <w:noProof/>
      </w:rPr>
      <w:t>1</w:t>
    </w:r>
    <w:r>
      <w:fldChar w:fldCharType="end"/>
    </w:r>
    <w:r>
      <w:t xml:space="preserve"> of </w:t>
    </w:r>
    <w:r>
      <w:fldChar w:fldCharType="begin"/>
    </w:r>
    <w:r>
      <w:instrText>NUMPAGES</w:instrText>
    </w:r>
    <w:r>
      <w:fldChar w:fldCharType="separate"/>
    </w:r>
    <w:r w:rsidR="00902BF2">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B1CB0" w14:textId="77777777" w:rsidR="00902BF2" w:rsidRDefault="00902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0DD01" w14:textId="77777777" w:rsidR="007B3DD6" w:rsidRDefault="007B3DD6">
      <w:pPr>
        <w:spacing w:after="0" w:line="240" w:lineRule="auto"/>
      </w:pPr>
      <w:r>
        <w:separator/>
      </w:r>
    </w:p>
  </w:footnote>
  <w:footnote w:type="continuationSeparator" w:id="0">
    <w:p w14:paraId="0A4F8C3E" w14:textId="77777777" w:rsidR="007B3DD6" w:rsidRDefault="007B3D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076D9" w14:textId="77777777" w:rsidR="00902BF2" w:rsidRDefault="00902B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7C006" w14:textId="77777777" w:rsidR="00085840" w:rsidRDefault="007B3DD6">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FFE4C" w14:textId="77777777" w:rsidR="00902BF2" w:rsidRDefault="00902B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A55BD"/>
    <w:multiLevelType w:val="hybridMultilevel"/>
    <w:tmpl w:val="0B200B0C"/>
    <w:lvl w:ilvl="0" w:tplc="078E3D4E">
      <w:start w:val="1"/>
      <w:numFmt w:val="bullet"/>
      <w:lvlText w:val="●"/>
      <w:lvlJc w:val="left"/>
      <w:pPr>
        <w:ind w:left="720" w:hanging="360"/>
      </w:pPr>
    </w:lvl>
    <w:lvl w:ilvl="1" w:tplc="5E4886F8">
      <w:start w:val="1"/>
      <w:numFmt w:val="bullet"/>
      <w:lvlText w:val="○"/>
      <w:lvlJc w:val="left"/>
      <w:pPr>
        <w:ind w:left="1440" w:hanging="360"/>
      </w:pPr>
    </w:lvl>
    <w:lvl w:ilvl="2" w:tplc="734479FE">
      <w:start w:val="1"/>
      <w:numFmt w:val="bullet"/>
      <w:lvlText w:val="■"/>
      <w:lvlJc w:val="left"/>
      <w:pPr>
        <w:ind w:left="2160" w:hanging="360"/>
      </w:pPr>
    </w:lvl>
    <w:lvl w:ilvl="3" w:tplc="8DA6B768">
      <w:start w:val="1"/>
      <w:numFmt w:val="bullet"/>
      <w:lvlText w:val="●"/>
      <w:lvlJc w:val="left"/>
      <w:pPr>
        <w:ind w:left="2880" w:hanging="360"/>
      </w:pPr>
    </w:lvl>
    <w:lvl w:ilvl="4" w:tplc="8F1EE476">
      <w:start w:val="1"/>
      <w:numFmt w:val="bullet"/>
      <w:lvlText w:val="○"/>
      <w:lvlJc w:val="left"/>
      <w:pPr>
        <w:ind w:left="3600" w:hanging="360"/>
      </w:pPr>
    </w:lvl>
    <w:lvl w:ilvl="5" w:tplc="31CCB532">
      <w:start w:val="1"/>
      <w:numFmt w:val="bullet"/>
      <w:lvlText w:val="■"/>
      <w:lvlJc w:val="left"/>
      <w:pPr>
        <w:ind w:left="4320" w:hanging="360"/>
      </w:pPr>
    </w:lvl>
    <w:lvl w:ilvl="6" w:tplc="D7186B42">
      <w:start w:val="1"/>
      <w:numFmt w:val="bullet"/>
      <w:lvlText w:val="●"/>
      <w:lvlJc w:val="left"/>
      <w:pPr>
        <w:ind w:left="5040" w:hanging="360"/>
      </w:pPr>
    </w:lvl>
    <w:lvl w:ilvl="7" w:tplc="3F18FE5A">
      <w:start w:val="1"/>
      <w:numFmt w:val="bullet"/>
      <w:lvlText w:val="●"/>
      <w:lvlJc w:val="left"/>
      <w:pPr>
        <w:ind w:left="5760" w:hanging="360"/>
      </w:pPr>
    </w:lvl>
    <w:lvl w:ilvl="8" w:tplc="5A502D96">
      <w:start w:val="1"/>
      <w:numFmt w:val="bullet"/>
      <w:lvlText w:val="●"/>
      <w:lvlJc w:val="left"/>
      <w:pPr>
        <w:ind w:left="6480" w:hanging="360"/>
      </w:pPr>
    </w:lvl>
  </w:abstractNum>
  <w:num w:numId="1" w16cid:durableId="43393811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840"/>
    <w:rsid w:val="00085840"/>
    <w:rsid w:val="007227EC"/>
    <w:rsid w:val="007B3DD6"/>
    <w:rsid w:val="00902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7BFED"/>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902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BF2"/>
  </w:style>
  <w:style w:type="paragraph" w:styleId="Footer">
    <w:name w:val="footer"/>
    <w:basedOn w:val="Normal"/>
    <w:link w:val="FooterChar"/>
    <w:uiPriority w:val="99"/>
    <w:unhideWhenUsed/>
    <w:rsid w:val="00902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2120</Characters>
  <Application>Microsoft Office Word</Application>
  <DocSecurity>0</DocSecurity>
  <Lines>37</Lines>
  <Paragraphs>23</Paragraphs>
  <ScaleCrop>false</ScaleCrop>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The s.110B Back-Audit</dc:title>
  <dc:creator>Jack Butler-Kettle</dc:creator>
  <dc:description>Service Information Schedule for S-039 The s.110B Back-Audit</dc:description>
  <cp:lastModifiedBy>Jack Butler-Kettle</cp:lastModifiedBy>
  <cp:revision>2</cp:revision>
  <dcterms:created xsi:type="dcterms:W3CDTF">2026-09-09T18:22:00Z</dcterms:created>
  <dcterms:modified xsi:type="dcterms:W3CDTF">2026-09-09T18:30:00Z</dcterms:modified>
</cp:coreProperties>
</file>