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81F7BF" w14:textId="77777777" w:rsidR="008B2ADD" w:rsidRDefault="00471EC6">
      <w:pPr>
        <w:pStyle w:val="Title"/>
      </w:pPr>
      <w:r>
        <w:t>What I need from you</w:t>
      </w:r>
    </w:p>
    <w:p w14:paraId="6B81F7C0" w14:textId="77777777" w:rsidR="008B2ADD" w:rsidRDefault="00471EC6">
      <w:pPr>
        <w:pStyle w:val="ServiceSubtitle"/>
      </w:pPr>
      <w:r>
        <w:t>Final Account Dispute</w:t>
      </w:r>
    </w:p>
    <w:p w14:paraId="6B81F7C1" w14:textId="77777777" w:rsidR="008B2ADD" w:rsidRDefault="008B2ADD">
      <w:pPr>
        <w:spacing w:after="160"/>
      </w:pPr>
    </w:p>
    <w:p w14:paraId="6B81F7C2" w14:textId="77777777" w:rsidR="008B2ADD" w:rsidRDefault="00471EC6">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6B81F7C3" w14:textId="77777777" w:rsidR="008B2ADD" w:rsidRDefault="00471EC6">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6B81F7C4" w14:textId="77777777" w:rsidR="008B2ADD" w:rsidRDefault="008B2ADD">
      <w:pPr>
        <w:spacing w:after="220"/>
      </w:pPr>
    </w:p>
    <w:p w14:paraId="6B81F7C5" w14:textId="77777777" w:rsidR="008B2ADD" w:rsidRDefault="00471EC6">
      <w:pPr>
        <w:pStyle w:val="Heading2"/>
      </w:pPr>
      <w:r>
        <w:t xml:space="preserve">1.  </w:t>
      </w:r>
      <w:r>
        <w:rPr>
          <w:sz w:val="22"/>
          <w:szCs w:val="22"/>
        </w:rPr>
        <w:t>The final account as submitted, with the build-up behind every head</w:t>
      </w:r>
      <w:r>
        <w:rPr>
          <w:caps/>
          <w:color w:val="67635B"/>
          <w:sz w:val="16"/>
          <w:szCs w:val="16"/>
        </w:rPr>
        <w:t xml:space="preserve">     Essential</w:t>
      </w:r>
    </w:p>
    <w:p w14:paraId="6B81F7C6" w14:textId="77777777" w:rsidR="008B2ADD" w:rsidRDefault="00471EC6">
      <w:pPr>
        <w:pStyle w:val="Detail"/>
      </w:pPr>
      <w:r>
        <w:rPr>
          <w:b/>
          <w:bCs/>
        </w:rPr>
        <w:t xml:space="preserve">Why I need it.  </w:t>
      </w:r>
      <w:r>
        <w:t>The base you map onto.</w:t>
      </w:r>
    </w:p>
    <w:p w14:paraId="6B81F7C7" w14:textId="77777777" w:rsidR="008B2ADD" w:rsidRDefault="00471EC6">
      <w:pPr>
        <w:pStyle w:val="Detail"/>
      </w:pPr>
      <w:r>
        <w:rPr>
          <w:b/>
          <w:bCs/>
        </w:rPr>
        <w:t xml:space="preserve">Where you'll find it.  </w:t>
      </w:r>
      <w:r>
        <w:t>Your QS's working file for the submission.</w:t>
      </w:r>
    </w:p>
    <w:p w14:paraId="6B81F7C8" w14:textId="77777777" w:rsidR="008B2ADD" w:rsidRDefault="00471EC6">
      <w:pPr>
        <w:pStyle w:val="Detail"/>
      </w:pPr>
      <w:r>
        <w:rPr>
          <w:b/>
          <w:bCs/>
        </w:rPr>
        <w:t xml:space="preserve">Without it.  </w:t>
      </w:r>
      <w:r>
        <w:t>There is no base to build the recovery from, so nothing else in the review can start.</w:t>
      </w:r>
    </w:p>
    <w:p w14:paraId="6B81F7C9" w14:textId="77777777" w:rsidR="008B2ADD" w:rsidRDefault="00471EC6">
      <w:pPr>
        <w:pStyle w:val="Heading2"/>
      </w:pPr>
      <w:r>
        <w:t xml:space="preserve">2.  </w:t>
      </w:r>
      <w:r>
        <w:rPr>
          <w:sz w:val="22"/>
          <w:szCs w:val="22"/>
        </w:rPr>
        <w:t>Any Final Account Review already done</w:t>
      </w:r>
      <w:r>
        <w:rPr>
          <w:caps/>
          <w:color w:val="67635B"/>
          <w:sz w:val="16"/>
          <w:szCs w:val="16"/>
        </w:rPr>
        <w:t xml:space="preserve">     Optional</w:t>
      </w:r>
    </w:p>
    <w:p w14:paraId="6B81F7CA" w14:textId="77777777" w:rsidR="008B2ADD" w:rsidRDefault="00471EC6">
      <w:pPr>
        <w:pStyle w:val="Detail"/>
      </w:pPr>
      <w:r>
        <w:rPr>
          <w:b/>
          <w:bCs/>
        </w:rPr>
        <w:t xml:space="preserve">Why I need it.  </w:t>
      </w:r>
      <w:r>
        <w:t>The graded position you start from.</w:t>
      </w:r>
    </w:p>
    <w:p w14:paraId="6B81F7CB" w14:textId="77777777" w:rsidR="008B2ADD" w:rsidRDefault="00471EC6">
      <w:pPr>
        <w:pStyle w:val="Detail"/>
      </w:pPr>
      <w:r>
        <w:rPr>
          <w:b/>
          <w:bCs/>
        </w:rPr>
        <w:t xml:space="preserve">Where you'll find it.  </w:t>
      </w:r>
      <w:r>
        <w:t>Wherever that review was delivered to you: your inbox, or the folder you filed it in when it landed.</w:t>
      </w:r>
    </w:p>
    <w:p w14:paraId="6B81F7CC" w14:textId="77777777" w:rsidR="008B2ADD" w:rsidRDefault="00471EC6">
      <w:pPr>
        <w:pStyle w:val="Detail"/>
      </w:pPr>
      <w:r>
        <w:rPr>
          <w:b/>
          <w:bCs/>
        </w:rPr>
        <w:t xml:space="preserve">Without it.  </w:t>
      </w:r>
      <w:r>
        <w:t>The review starts from nothing instead of a position already tested, and work already paid for gets repeated.</w:t>
      </w:r>
    </w:p>
    <w:p w14:paraId="6B81F7CD" w14:textId="77777777" w:rsidR="008B2ADD" w:rsidRDefault="00471EC6">
      <w:pPr>
        <w:pStyle w:val="Heading2"/>
      </w:pPr>
      <w:r>
        <w:t xml:space="preserve">3.  </w:t>
      </w:r>
      <w:r>
        <w:rPr>
          <w:sz w:val="22"/>
          <w:szCs w:val="22"/>
        </w:rPr>
        <w:t>The counterparty's assessment, as they issued it</w:t>
      </w:r>
      <w:r>
        <w:rPr>
          <w:caps/>
          <w:color w:val="67635B"/>
          <w:sz w:val="16"/>
          <w:szCs w:val="16"/>
        </w:rPr>
        <w:t xml:space="preserve">     Essential</w:t>
      </w:r>
    </w:p>
    <w:p w14:paraId="6B81F7CE" w14:textId="77777777" w:rsidR="008B2ADD" w:rsidRDefault="00471EC6">
      <w:pPr>
        <w:pStyle w:val="Detail"/>
      </w:pPr>
      <w:r>
        <w:rPr>
          <w:b/>
          <w:bCs/>
        </w:rPr>
        <w:t xml:space="preserve">Why I need it.  </w:t>
      </w:r>
      <w:r>
        <w:t>The other half of the gap.</w:t>
      </w:r>
    </w:p>
    <w:p w14:paraId="6B81F7CF" w14:textId="77777777" w:rsidR="008B2ADD" w:rsidRDefault="00471EC6">
      <w:pPr>
        <w:pStyle w:val="Detail"/>
      </w:pPr>
      <w:r>
        <w:rPr>
          <w:b/>
          <w:bCs/>
        </w:rPr>
        <w:t xml:space="preserve">Where you'll find it.  </w:t>
      </w:r>
      <w:r>
        <w:t>The thread with their commercial team; forward it whole, including the unanswered chasers.</w:t>
      </w:r>
    </w:p>
    <w:p w14:paraId="6B81F7D0" w14:textId="77777777" w:rsidR="008B2ADD" w:rsidRDefault="00471EC6">
      <w:pPr>
        <w:pStyle w:val="Detail"/>
      </w:pPr>
      <w:r>
        <w:rPr>
          <w:b/>
          <w:bCs/>
        </w:rPr>
        <w:t xml:space="preserve">Without it.  </w:t>
      </w:r>
      <w:r>
        <w:t>There is nothing to measure the gap against, so the case is built blind to what is actually being offered.</w:t>
      </w:r>
    </w:p>
    <w:p w14:paraId="6B81F7D1" w14:textId="77777777" w:rsidR="008B2ADD" w:rsidRDefault="00471EC6">
      <w:pPr>
        <w:pStyle w:val="Heading2"/>
      </w:pPr>
      <w:r>
        <w:t xml:space="preserve">4.  </w:t>
      </w:r>
      <w:r>
        <w:rPr>
          <w:sz w:val="22"/>
          <w:szCs w:val="22"/>
        </w:rPr>
        <w:t>Their stated grounds, in writing</w:t>
      </w:r>
      <w:r>
        <w:rPr>
          <w:caps/>
          <w:color w:val="67635B"/>
          <w:sz w:val="16"/>
          <w:szCs w:val="16"/>
        </w:rPr>
        <w:t xml:space="preserve">     Important</w:t>
      </w:r>
    </w:p>
    <w:p w14:paraId="6B81F7D2" w14:textId="77777777" w:rsidR="008B2ADD" w:rsidRDefault="00471EC6">
      <w:pPr>
        <w:pStyle w:val="Detail"/>
      </w:pPr>
      <w:r>
        <w:rPr>
          <w:b/>
          <w:bCs/>
        </w:rPr>
        <w:t xml:space="preserve">Why I need it.  </w:t>
      </w:r>
      <w:r>
        <w:t>What they actually rely on, as opposed to what was said.</w:t>
      </w:r>
    </w:p>
    <w:p w14:paraId="6B81F7D3" w14:textId="77777777" w:rsidR="008B2ADD" w:rsidRDefault="00471EC6">
      <w:pPr>
        <w:pStyle w:val="Detail"/>
      </w:pPr>
      <w:r>
        <w:rPr>
          <w:b/>
          <w:bCs/>
        </w:rPr>
        <w:t xml:space="preserve">Where you'll find it.  </w:t>
      </w:r>
      <w:r>
        <w:t>Their rejection letter, a marked up account, or any schedule they have sent setting out their reasons. If all you have is what was said on a call, send that and say so.</w:t>
      </w:r>
    </w:p>
    <w:p w14:paraId="6B81F7D4" w14:textId="77777777" w:rsidR="008B2ADD" w:rsidRDefault="00471EC6">
      <w:pPr>
        <w:pStyle w:val="Detail"/>
      </w:pPr>
      <w:r>
        <w:rPr>
          <w:b/>
          <w:bCs/>
        </w:rPr>
        <w:t xml:space="preserve">Without it.  </w:t>
      </w:r>
      <w:r>
        <w:t>There is no ground on paper to test on that head, so nothing in the case answers what they actually rely on, only what was said on a call.</w:t>
      </w:r>
    </w:p>
    <w:p w14:paraId="6B81F7D5" w14:textId="77777777" w:rsidR="008B2ADD" w:rsidRDefault="00471EC6">
      <w:pPr>
        <w:pStyle w:val="Heading2"/>
      </w:pPr>
      <w:r>
        <w:t xml:space="preserve">5.  </w:t>
      </w:r>
      <w:r>
        <w:rPr>
          <w:sz w:val="22"/>
          <w:szCs w:val="22"/>
        </w:rPr>
        <w:t>The executed contract and every amendment</w:t>
      </w:r>
      <w:r>
        <w:rPr>
          <w:caps/>
          <w:color w:val="67635B"/>
          <w:sz w:val="16"/>
          <w:szCs w:val="16"/>
        </w:rPr>
        <w:t xml:space="preserve">     Essential</w:t>
      </w:r>
    </w:p>
    <w:p w14:paraId="6B81F7D6" w14:textId="77777777" w:rsidR="008B2ADD" w:rsidRDefault="00471EC6">
      <w:pPr>
        <w:pStyle w:val="Detail"/>
      </w:pPr>
      <w:r>
        <w:rPr>
          <w:b/>
          <w:bCs/>
        </w:rPr>
        <w:t xml:space="preserve">Why I need it.  </w:t>
      </w:r>
      <w:r>
        <w:t>The valuation rules the account has to satisfy.</w:t>
      </w:r>
    </w:p>
    <w:p w14:paraId="6B81F7D7" w14:textId="77777777" w:rsidR="008B2ADD" w:rsidRDefault="00471EC6">
      <w:pPr>
        <w:pStyle w:val="Detail"/>
      </w:pPr>
      <w:r>
        <w:rPr>
          <w:b/>
          <w:bCs/>
        </w:rPr>
        <w:t xml:space="preserve">Where you'll find it.  </w:t>
      </w:r>
      <w:r>
        <w:t>The commercial folder or the order email.</w:t>
      </w:r>
    </w:p>
    <w:p w14:paraId="6B81F7D8" w14:textId="77777777" w:rsidR="008B2ADD" w:rsidRDefault="00471EC6">
      <w:pPr>
        <w:pStyle w:val="Detail"/>
      </w:pPr>
      <w:r>
        <w:rPr>
          <w:b/>
          <w:bCs/>
        </w:rPr>
        <w:t xml:space="preserve">Without it.  </w:t>
      </w:r>
      <w:r>
        <w:t>The account cannot be tested against the rules it has to satisfy, so the case has no anchor.</w:t>
      </w:r>
    </w:p>
    <w:p w14:paraId="6B81F7D9" w14:textId="77777777" w:rsidR="008B2ADD" w:rsidRDefault="00471EC6">
      <w:pPr>
        <w:pStyle w:val="Heading2"/>
      </w:pPr>
      <w:r>
        <w:lastRenderedPageBreak/>
        <w:t xml:space="preserve">6.  </w:t>
      </w:r>
      <w:r>
        <w:rPr>
          <w:sz w:val="22"/>
          <w:szCs w:val="22"/>
        </w:rPr>
        <w:t>Variation instructions, valuations and the payment history</w:t>
      </w:r>
      <w:r>
        <w:rPr>
          <w:caps/>
          <w:color w:val="67635B"/>
          <w:sz w:val="16"/>
          <w:szCs w:val="16"/>
        </w:rPr>
        <w:t xml:space="preserve">     Essential</w:t>
      </w:r>
    </w:p>
    <w:p w14:paraId="6B81F7DA" w14:textId="77777777" w:rsidR="008B2ADD" w:rsidRDefault="00471EC6">
      <w:pPr>
        <w:pStyle w:val="Detail"/>
      </w:pPr>
      <w:r>
        <w:rPr>
          <w:b/>
          <w:bCs/>
        </w:rPr>
        <w:t xml:space="preserve">Why I need it.  </w:t>
      </w:r>
      <w:r>
        <w:t>The largest moving part, and the reconciliation.</w:t>
      </w:r>
    </w:p>
    <w:p w14:paraId="6B81F7DB" w14:textId="77777777" w:rsidR="008B2ADD" w:rsidRDefault="00471EC6">
      <w:pPr>
        <w:pStyle w:val="Detail"/>
      </w:pPr>
      <w:r>
        <w:rPr>
          <w:b/>
          <w:bCs/>
        </w:rPr>
        <w:t xml:space="preserve">Where you'll find it.  </w:t>
      </w:r>
      <w:r>
        <w:t>Your QS's variation tracker and the run of applications and certificates from the first to the last.</w:t>
      </w:r>
    </w:p>
    <w:p w14:paraId="6B81F7DC" w14:textId="77777777" w:rsidR="008B2ADD" w:rsidRDefault="00471EC6">
      <w:pPr>
        <w:pStyle w:val="Detail"/>
      </w:pPr>
      <w:r>
        <w:rPr>
          <w:b/>
          <w:bCs/>
        </w:rPr>
        <w:t xml:space="preserve">Without it.  </w:t>
      </w:r>
      <w:r>
        <w:t>The largest part of the case cannot be reconciled, and that is exactly where the biggest recoverable sums usually hide.</w:t>
      </w:r>
    </w:p>
    <w:p w14:paraId="6B81F7DD" w14:textId="77777777" w:rsidR="008B2ADD" w:rsidRDefault="00471EC6">
      <w:pPr>
        <w:pStyle w:val="Heading2"/>
      </w:pPr>
      <w:r>
        <w:t xml:space="preserve">7.  </w:t>
      </w:r>
      <w:r>
        <w:rPr>
          <w:sz w:val="22"/>
          <w:szCs w:val="22"/>
        </w:rPr>
        <w:t>Any period of delay relied on, and who assessed it</w:t>
      </w:r>
      <w:r>
        <w:rPr>
          <w:caps/>
          <w:color w:val="67635B"/>
          <w:sz w:val="16"/>
          <w:szCs w:val="16"/>
        </w:rPr>
        <w:t xml:space="preserve">     Important</w:t>
      </w:r>
    </w:p>
    <w:p w14:paraId="6B81F7DE" w14:textId="77777777" w:rsidR="008B2ADD" w:rsidRDefault="00471EC6">
      <w:pPr>
        <w:pStyle w:val="Detail"/>
      </w:pPr>
      <w:r>
        <w:rPr>
          <w:b/>
          <w:bCs/>
        </w:rPr>
        <w:t xml:space="preserve">Why I need it.  </w:t>
      </w:r>
      <w:r>
        <w:t>Adopted and attributed, never assessed here.</w:t>
      </w:r>
    </w:p>
    <w:p w14:paraId="6B81F7DF" w14:textId="77777777" w:rsidR="008B2ADD" w:rsidRDefault="00471EC6">
      <w:pPr>
        <w:pStyle w:val="Detail"/>
      </w:pPr>
      <w:r>
        <w:rPr>
          <w:b/>
          <w:bCs/>
        </w:rPr>
        <w:t xml:space="preserve">Where you'll find it.  </w:t>
      </w:r>
      <w:r>
        <w:t>Your programmer's report, or whoever produced the delay analysis you are relying on.</w:t>
      </w:r>
    </w:p>
    <w:p w14:paraId="6B81F7E0" w14:textId="77777777" w:rsidR="008B2ADD" w:rsidRDefault="00471EC6">
      <w:pPr>
        <w:pStyle w:val="Detail"/>
      </w:pPr>
      <w:r>
        <w:rPr>
          <w:b/>
          <w:bCs/>
        </w:rPr>
        <w:t xml:space="preserve">Without it.  </w:t>
      </w:r>
      <w:r>
        <w:t>The prolongation head is carried with no period behind it, and its figure stands on your own account alone, unattributed to anyone who assessed it.</w:t>
      </w:r>
    </w:p>
    <w:p w14:paraId="6B81F7E1" w14:textId="77777777" w:rsidR="008B2ADD" w:rsidRDefault="00471EC6">
      <w:pPr>
        <w:pStyle w:val="Heading2"/>
      </w:pPr>
      <w:r>
        <w:t xml:space="preserve">8.  </w:t>
      </w:r>
      <w:r>
        <w:rPr>
          <w:sz w:val="22"/>
          <w:szCs w:val="22"/>
        </w:rPr>
        <w:t>Any deadline: referral period, conclusivity, limitation</w:t>
      </w:r>
      <w:r>
        <w:rPr>
          <w:caps/>
          <w:color w:val="67635B"/>
          <w:sz w:val="16"/>
          <w:szCs w:val="16"/>
        </w:rPr>
        <w:t xml:space="preserve">     Essential</w:t>
      </w:r>
    </w:p>
    <w:p w14:paraId="6B81F7E2" w14:textId="77777777" w:rsidR="008B2ADD" w:rsidRDefault="00471EC6">
      <w:pPr>
        <w:pStyle w:val="Detail"/>
      </w:pPr>
      <w:r>
        <w:rPr>
          <w:b/>
          <w:bCs/>
        </w:rPr>
        <w:t xml:space="preserve">Why I need it.  </w:t>
      </w:r>
      <w:r>
        <w:t>These can end the matter before it starts.</w:t>
      </w:r>
    </w:p>
    <w:p w14:paraId="6B81F7E3" w14:textId="77777777" w:rsidR="008B2ADD" w:rsidRDefault="00471EC6">
      <w:pPr>
        <w:pStyle w:val="Detail"/>
      </w:pPr>
      <w:r>
        <w:rPr>
          <w:b/>
          <w:bCs/>
        </w:rPr>
        <w:t xml:space="preserve">Where you'll find it.  </w:t>
      </w:r>
      <w:r>
        <w:t>The contract's dispute resolution clause for the referral period, and your solicitor for limitation.</w:t>
      </w:r>
    </w:p>
    <w:p w14:paraId="6B81F7E4" w14:textId="77777777" w:rsidR="008B2ADD" w:rsidRDefault="00471EC6">
      <w:pPr>
        <w:pStyle w:val="Detail"/>
      </w:pPr>
      <w:r>
        <w:rPr>
          <w:b/>
          <w:bCs/>
        </w:rPr>
        <w:t xml:space="preserve">Without it.  </w:t>
      </w:r>
      <w:r>
        <w:t>A deadline can pass unnoticed, and the whole matter can be lost on time before the merits are ever reached.</w:t>
      </w:r>
    </w:p>
    <w:p w14:paraId="6B81F7E5" w14:textId="77777777" w:rsidR="008B2ADD" w:rsidRDefault="00471EC6">
      <w:pPr>
        <w:pStyle w:val="Heading1"/>
      </w:pPr>
      <w:r>
        <w:t>How to send it</w:t>
      </w:r>
    </w:p>
    <w:p w14:paraId="6B81F7E6" w14:textId="77777777" w:rsidR="008B2ADD" w:rsidRDefault="00471EC6">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8B2ADD">
      <w:headerReference w:type="even" r:id="rId7"/>
      <w:headerReference w:type="default" r:id="rId8"/>
      <w:footerReference w:type="even" r:id="rId9"/>
      <w:footerReference w:type="default" r:id="rId10"/>
      <w:headerReference w:type="first" r:id="rId11"/>
      <w:footerReference w:type="first" r:id="rId12"/>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42272D" w14:textId="77777777" w:rsidR="00471EC6" w:rsidRDefault="00471EC6">
      <w:pPr>
        <w:spacing w:after="0" w:line="240" w:lineRule="auto"/>
      </w:pPr>
      <w:r>
        <w:separator/>
      </w:r>
    </w:p>
  </w:endnote>
  <w:endnote w:type="continuationSeparator" w:id="0">
    <w:p w14:paraId="4F70AB53" w14:textId="77777777" w:rsidR="00471EC6" w:rsidRDefault="00471E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DEBAE" w14:textId="77777777" w:rsidR="0062190E" w:rsidRDefault="006219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1F7E8" w14:textId="706487B0" w:rsidR="008B2ADD" w:rsidRDefault="00471EC6">
    <w:pPr>
      <w:pStyle w:val="SmallPrint"/>
    </w:pPr>
    <w:r>
      <w:t xml:space="preserve">Page </w:t>
    </w:r>
    <w:r>
      <w:fldChar w:fldCharType="begin"/>
    </w:r>
    <w:r>
      <w:instrText>PAGE</w:instrText>
    </w:r>
    <w:r>
      <w:fldChar w:fldCharType="separate"/>
    </w:r>
    <w:r w:rsidR="0062190E">
      <w:rPr>
        <w:noProof/>
      </w:rPr>
      <w:t>1</w:t>
    </w:r>
    <w:r>
      <w:fldChar w:fldCharType="end"/>
    </w:r>
    <w:r>
      <w:t xml:space="preserve"> of </w:t>
    </w:r>
    <w:r>
      <w:fldChar w:fldCharType="begin"/>
    </w:r>
    <w:r>
      <w:instrText>NUMPAGES</w:instrText>
    </w:r>
    <w:r>
      <w:fldChar w:fldCharType="separate"/>
    </w:r>
    <w:r w:rsidR="0062190E">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BA98A2" w14:textId="77777777" w:rsidR="0062190E" w:rsidRDefault="006219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11A749" w14:textId="77777777" w:rsidR="00471EC6" w:rsidRDefault="00471EC6">
      <w:pPr>
        <w:spacing w:after="0" w:line="240" w:lineRule="auto"/>
      </w:pPr>
      <w:r>
        <w:separator/>
      </w:r>
    </w:p>
  </w:footnote>
  <w:footnote w:type="continuationSeparator" w:id="0">
    <w:p w14:paraId="67277002" w14:textId="77777777" w:rsidR="00471EC6" w:rsidRDefault="00471E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B589D0" w14:textId="77777777" w:rsidR="0062190E" w:rsidRDefault="0062190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1F7E7" w14:textId="77777777" w:rsidR="008B2ADD" w:rsidRDefault="00471EC6">
    <w:pPr>
      <w:spacing w:after="240"/>
    </w:pPr>
    <w:r>
      <w:rPr>
        <w:b/>
        <w:bCs/>
        <w:spacing w:val="40"/>
        <w:sz w:val="18"/>
        <w:szCs w:val="18"/>
      </w:rPr>
      <w:t>JACK BUTLER-KETTLE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23C30" w14:textId="77777777" w:rsidR="0062190E" w:rsidRDefault="006219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4094831"/>
    <w:multiLevelType w:val="hybridMultilevel"/>
    <w:tmpl w:val="61E067F6"/>
    <w:lvl w:ilvl="0" w:tplc="BF78F0D8">
      <w:start w:val="1"/>
      <w:numFmt w:val="bullet"/>
      <w:lvlText w:val="●"/>
      <w:lvlJc w:val="left"/>
      <w:pPr>
        <w:ind w:left="720" w:hanging="360"/>
      </w:pPr>
    </w:lvl>
    <w:lvl w:ilvl="1" w:tplc="2524551C">
      <w:start w:val="1"/>
      <w:numFmt w:val="bullet"/>
      <w:lvlText w:val="○"/>
      <w:lvlJc w:val="left"/>
      <w:pPr>
        <w:ind w:left="1440" w:hanging="360"/>
      </w:pPr>
    </w:lvl>
    <w:lvl w:ilvl="2" w:tplc="7E8C1D2C">
      <w:start w:val="1"/>
      <w:numFmt w:val="bullet"/>
      <w:lvlText w:val="■"/>
      <w:lvlJc w:val="left"/>
      <w:pPr>
        <w:ind w:left="2160" w:hanging="360"/>
      </w:pPr>
    </w:lvl>
    <w:lvl w:ilvl="3" w:tplc="A8E016D0">
      <w:start w:val="1"/>
      <w:numFmt w:val="bullet"/>
      <w:lvlText w:val="●"/>
      <w:lvlJc w:val="left"/>
      <w:pPr>
        <w:ind w:left="2880" w:hanging="360"/>
      </w:pPr>
    </w:lvl>
    <w:lvl w:ilvl="4" w:tplc="6E180F9E">
      <w:start w:val="1"/>
      <w:numFmt w:val="bullet"/>
      <w:lvlText w:val="○"/>
      <w:lvlJc w:val="left"/>
      <w:pPr>
        <w:ind w:left="3600" w:hanging="360"/>
      </w:pPr>
    </w:lvl>
    <w:lvl w:ilvl="5" w:tplc="74902884">
      <w:start w:val="1"/>
      <w:numFmt w:val="bullet"/>
      <w:lvlText w:val="■"/>
      <w:lvlJc w:val="left"/>
      <w:pPr>
        <w:ind w:left="4320" w:hanging="360"/>
      </w:pPr>
    </w:lvl>
    <w:lvl w:ilvl="6" w:tplc="C37C0254">
      <w:start w:val="1"/>
      <w:numFmt w:val="bullet"/>
      <w:lvlText w:val="●"/>
      <w:lvlJc w:val="left"/>
      <w:pPr>
        <w:ind w:left="5040" w:hanging="360"/>
      </w:pPr>
    </w:lvl>
    <w:lvl w:ilvl="7" w:tplc="C5C0FD2C">
      <w:start w:val="1"/>
      <w:numFmt w:val="bullet"/>
      <w:lvlText w:val="●"/>
      <w:lvlJc w:val="left"/>
      <w:pPr>
        <w:ind w:left="5760" w:hanging="360"/>
      </w:pPr>
    </w:lvl>
    <w:lvl w:ilvl="8" w:tplc="4C245764">
      <w:start w:val="1"/>
      <w:numFmt w:val="bullet"/>
      <w:lvlText w:val="●"/>
      <w:lvlJc w:val="left"/>
      <w:pPr>
        <w:ind w:left="6480" w:hanging="360"/>
      </w:pPr>
    </w:lvl>
  </w:abstractNum>
  <w:num w:numId="1" w16cid:durableId="170625504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2ADD"/>
    <w:rsid w:val="00471EC6"/>
    <w:rsid w:val="0062190E"/>
    <w:rsid w:val="007227EC"/>
    <w:rsid w:val="008B2A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81F7BF"/>
  <w15:docId w15:val="{F4F3D49B-58C9-496E-85A9-B324872D7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6219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90E"/>
  </w:style>
  <w:style w:type="paragraph" w:styleId="Footer">
    <w:name w:val="footer"/>
    <w:basedOn w:val="Normal"/>
    <w:link w:val="FooterChar"/>
    <w:uiPriority w:val="99"/>
    <w:unhideWhenUsed/>
    <w:rsid w:val="006219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9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671</Words>
  <Characters>3205</Characters>
  <Application>Microsoft Office Word</Application>
  <DocSecurity>0</DocSecurity>
  <Lines>59</Lines>
  <Paragraphs>38</Paragraphs>
  <ScaleCrop>false</ScaleCrop>
  <Company/>
  <LinksUpToDate>false</LinksUpToDate>
  <CharactersWithSpaces>3902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Final Account Dispute</dc:title>
  <dc:creator>Jack Butler-Kettle</dc:creator>
  <dc:description>Service Information Schedule for S-052 Final Account Dispute</dc:description>
  <cp:lastModifiedBy>Jack Butler-Kettle</cp:lastModifiedBy>
  <cp:revision>2</cp:revision>
  <dcterms:created xsi:type="dcterms:W3CDTF">2026-09-09T18:22:00Z</dcterms:created>
  <dcterms:modified xsi:type="dcterms:W3CDTF">2026-09-09T18:32:00Z</dcterms:modified>
</cp:coreProperties>
</file>