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87DEA" w14:textId="77777777" w:rsidR="00CD264E" w:rsidRDefault="00C44515">
      <w:pPr>
        <w:pStyle w:val="Title"/>
      </w:pPr>
      <w:r>
        <w:t>What I need from you</w:t>
      </w:r>
    </w:p>
    <w:p w14:paraId="2E887DEB" w14:textId="77777777" w:rsidR="00CD264E" w:rsidRDefault="00C44515">
      <w:pPr>
        <w:pStyle w:val="ServiceSubtitle"/>
      </w:pPr>
      <w:r>
        <w:t>Adjudication Quantum Support</w:t>
      </w:r>
    </w:p>
    <w:p w14:paraId="2E887DEC" w14:textId="77777777" w:rsidR="00CD264E" w:rsidRDefault="00CD264E">
      <w:pPr>
        <w:spacing w:after="160"/>
      </w:pPr>
    </w:p>
    <w:p w14:paraId="2E887DED" w14:textId="77777777" w:rsidR="00CD264E" w:rsidRDefault="00C44515">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E887DEE" w14:textId="77777777" w:rsidR="00CD264E" w:rsidRDefault="00C44515">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E887DEF" w14:textId="77777777" w:rsidR="00CD264E" w:rsidRDefault="00CD264E">
      <w:pPr>
        <w:spacing w:after="220"/>
      </w:pPr>
    </w:p>
    <w:p w14:paraId="2E887DF0" w14:textId="77777777" w:rsidR="00CD264E" w:rsidRDefault="00C44515">
      <w:pPr>
        <w:pStyle w:val="Heading2"/>
      </w:pPr>
      <w:r>
        <w:t xml:space="preserve">1.  </w:t>
      </w:r>
      <w:r>
        <w:rPr>
          <w:sz w:val="22"/>
          <w:szCs w:val="22"/>
        </w:rPr>
        <w:t>The referral or response being answered</w:t>
      </w:r>
      <w:r>
        <w:rPr>
          <w:caps/>
          <w:color w:val="67635B"/>
          <w:sz w:val="16"/>
          <w:szCs w:val="16"/>
        </w:rPr>
        <w:t xml:space="preserve">     Essential</w:t>
      </w:r>
    </w:p>
    <w:p w14:paraId="2E887DF1" w14:textId="77777777" w:rsidR="00CD264E" w:rsidRDefault="00C44515">
      <w:pPr>
        <w:pStyle w:val="Detail"/>
      </w:pPr>
      <w:r>
        <w:rPr>
          <w:b/>
          <w:bCs/>
        </w:rPr>
        <w:t xml:space="preserve">Why I need it.  </w:t>
      </w:r>
      <w:r>
        <w:t>What is answered, and to what timetable.</w:t>
      </w:r>
    </w:p>
    <w:p w14:paraId="2E887DF2" w14:textId="77777777" w:rsidR="00CD264E" w:rsidRDefault="00C44515">
      <w:pPr>
        <w:pStyle w:val="Detail"/>
      </w:pPr>
      <w:r>
        <w:rPr>
          <w:b/>
          <w:bCs/>
        </w:rPr>
        <w:t xml:space="preserve">Where you'll find it.  </w:t>
      </w:r>
      <w:r>
        <w:t>Whoever is running the adjudication for you holds the served set</w:t>
      </w:r>
    </w:p>
    <w:p w14:paraId="2E887DF3" w14:textId="77777777" w:rsidR="00CD264E" w:rsidRDefault="00C44515">
      <w:pPr>
        <w:pStyle w:val="Detail"/>
      </w:pPr>
      <w:r>
        <w:rPr>
          <w:b/>
          <w:bCs/>
        </w:rPr>
        <w:t xml:space="preserve">Without it.  </w:t>
      </w:r>
      <w:r>
        <w:t>There is nothing to answer and no timetable to work to, so the response cannot start</w:t>
      </w:r>
    </w:p>
    <w:p w14:paraId="2E887DF4" w14:textId="77777777" w:rsidR="00CD264E" w:rsidRDefault="00C44515">
      <w:pPr>
        <w:pStyle w:val="Heading2"/>
      </w:pPr>
      <w:r>
        <w:t xml:space="preserve">2.  </w:t>
      </w:r>
      <w:r>
        <w:rPr>
          <w:sz w:val="22"/>
          <w:szCs w:val="22"/>
        </w:rPr>
        <w:t>The quantum claimed with its full build-up</w:t>
      </w:r>
      <w:r>
        <w:rPr>
          <w:caps/>
          <w:color w:val="67635B"/>
          <w:sz w:val="16"/>
          <w:szCs w:val="16"/>
        </w:rPr>
        <w:t xml:space="preserve">     Essential</w:t>
      </w:r>
    </w:p>
    <w:p w14:paraId="2E887DF5" w14:textId="77777777" w:rsidR="00CD264E" w:rsidRDefault="00C44515">
      <w:pPr>
        <w:pStyle w:val="Detail"/>
      </w:pPr>
      <w:r>
        <w:rPr>
          <w:b/>
          <w:bCs/>
        </w:rPr>
        <w:t xml:space="preserve">Why I need it.  </w:t>
      </w:r>
      <w:r>
        <w:t>What is claimed and how it was built.</w:t>
      </w:r>
    </w:p>
    <w:p w14:paraId="2E887DF6" w14:textId="77777777" w:rsidR="00CD264E" w:rsidRDefault="00C44515">
      <w:pPr>
        <w:pStyle w:val="Detail"/>
      </w:pPr>
      <w:r>
        <w:rPr>
          <w:b/>
          <w:bCs/>
        </w:rPr>
        <w:t xml:space="preserve">Where you'll find it.  </w:t>
      </w:r>
      <w:r>
        <w:t>Served with the referral; ask for native files if only PDFs arrived, and the request itself is telling</w:t>
      </w:r>
    </w:p>
    <w:p w14:paraId="2E887DF7" w14:textId="77777777" w:rsidR="00CD264E" w:rsidRDefault="00C44515">
      <w:pPr>
        <w:pStyle w:val="Detail"/>
      </w:pPr>
      <w:r>
        <w:rPr>
          <w:b/>
          <w:bCs/>
        </w:rPr>
        <w:t xml:space="preserve">What good looks like.  </w:t>
      </w:r>
      <w:r>
        <w:t>a live spreadsheet, formulae intact, one tab per head.</w:t>
      </w:r>
    </w:p>
    <w:p w14:paraId="2E887DF8" w14:textId="77777777" w:rsidR="00CD264E" w:rsidRDefault="00C44515">
      <w:pPr>
        <w:pStyle w:val="Detail"/>
      </w:pPr>
      <w:r>
        <w:rPr>
          <w:b/>
          <w:bCs/>
        </w:rPr>
        <w:t xml:space="preserve">Without it.  </w:t>
      </w:r>
      <w:r>
        <w:t>There is no method to test, so nothing can be checked or challenged</w:t>
      </w:r>
    </w:p>
    <w:p w14:paraId="2E887DF9" w14:textId="77777777" w:rsidR="00CD264E" w:rsidRDefault="00C44515">
      <w:pPr>
        <w:pStyle w:val="Heading2"/>
      </w:pPr>
      <w:r>
        <w:t xml:space="preserve">3.  </w:t>
      </w:r>
      <w:r>
        <w:rPr>
          <w:sz w:val="22"/>
          <w:szCs w:val="22"/>
        </w:rPr>
        <w:t>The records behind each head</w:t>
      </w:r>
      <w:r>
        <w:rPr>
          <w:caps/>
          <w:color w:val="67635B"/>
          <w:sz w:val="16"/>
          <w:szCs w:val="16"/>
        </w:rPr>
        <w:t xml:space="preserve">     Important</w:t>
      </w:r>
    </w:p>
    <w:p w14:paraId="2E887DFA" w14:textId="77777777" w:rsidR="00CD264E" w:rsidRDefault="00C44515">
      <w:pPr>
        <w:pStyle w:val="Detail"/>
      </w:pPr>
      <w:r>
        <w:rPr>
          <w:b/>
          <w:bCs/>
        </w:rPr>
        <w:t xml:space="preserve">Why I need it.  </w:t>
      </w:r>
      <w:r>
        <w:t>What supports or undermines each head.</w:t>
      </w:r>
    </w:p>
    <w:p w14:paraId="2E887DFB" w14:textId="77777777" w:rsidR="00CD264E" w:rsidRDefault="00C44515">
      <w:pPr>
        <w:pStyle w:val="Detail"/>
      </w:pPr>
      <w:r>
        <w:rPr>
          <w:b/>
          <w:bCs/>
        </w:rPr>
        <w:t xml:space="preserve">Where you'll find it.  </w:t>
      </w:r>
      <w:r>
        <w:t>Wherever your QS holds them: valuations, variation instructions, site records, allocation sheets and invoices, sorted by head if they already are</w:t>
      </w:r>
    </w:p>
    <w:p w14:paraId="2E887DFC" w14:textId="77777777" w:rsidR="00CD264E" w:rsidRDefault="00C44515">
      <w:pPr>
        <w:pStyle w:val="Detail"/>
      </w:pPr>
      <w:r>
        <w:rPr>
          <w:b/>
          <w:bCs/>
        </w:rPr>
        <w:t xml:space="preserve">Without it.  </w:t>
      </w:r>
      <w:r>
        <w:t>Heads with nothing behind them are answered as unproved rather than positively disproved, which is the weaker response</w:t>
      </w:r>
    </w:p>
    <w:p w14:paraId="2E887DFD" w14:textId="77777777" w:rsidR="00CD264E" w:rsidRDefault="00C44515">
      <w:pPr>
        <w:pStyle w:val="Heading2"/>
      </w:pPr>
      <w:r>
        <w:t xml:space="preserve">4.  </w:t>
      </w:r>
      <w:r>
        <w:rPr>
          <w:sz w:val="22"/>
          <w:szCs w:val="22"/>
        </w:rPr>
        <w:t>The timetable, with any agreed extension</w:t>
      </w:r>
      <w:r>
        <w:rPr>
          <w:caps/>
          <w:color w:val="67635B"/>
          <w:sz w:val="16"/>
          <w:szCs w:val="16"/>
        </w:rPr>
        <w:t xml:space="preserve">     Essential</w:t>
      </w:r>
    </w:p>
    <w:p w14:paraId="2E887DFE" w14:textId="77777777" w:rsidR="00CD264E" w:rsidRDefault="00C44515">
      <w:pPr>
        <w:pStyle w:val="Detail"/>
      </w:pPr>
      <w:r>
        <w:rPr>
          <w:b/>
          <w:bCs/>
        </w:rPr>
        <w:t xml:space="preserve">Why I need it.  </w:t>
      </w:r>
      <w:r>
        <w:t>The timetable governs the whole exercise.</w:t>
      </w:r>
    </w:p>
    <w:p w14:paraId="2E887DFF" w14:textId="77777777" w:rsidR="00CD264E" w:rsidRDefault="00C44515">
      <w:pPr>
        <w:pStyle w:val="Detail"/>
      </w:pPr>
      <w:r>
        <w:rPr>
          <w:b/>
          <w:bCs/>
        </w:rPr>
        <w:t xml:space="preserve">Where you'll find it.  </w:t>
      </w:r>
      <w:r>
        <w:t>The adjudicator's directions and any extension correspondence, not a date recalled from memory</w:t>
      </w:r>
    </w:p>
    <w:p w14:paraId="2E887E00" w14:textId="77777777" w:rsidR="00CD264E" w:rsidRDefault="00C44515">
      <w:pPr>
        <w:pStyle w:val="Detail"/>
      </w:pPr>
      <w:r>
        <w:rPr>
          <w:b/>
          <w:bCs/>
        </w:rPr>
        <w:t xml:space="preserve">Without it.  </w:t>
      </w:r>
      <w:r>
        <w:t>There is no date to work backwards from, so no internal deadline can be set with confidence</w:t>
      </w:r>
    </w:p>
    <w:p w14:paraId="2E887E01" w14:textId="77777777" w:rsidR="00CD264E" w:rsidRDefault="00C44515">
      <w:pPr>
        <w:pStyle w:val="Heading2"/>
      </w:pPr>
      <w:r>
        <w:t xml:space="preserve">5.  </w:t>
      </w:r>
      <w:r>
        <w:rPr>
          <w:sz w:val="22"/>
          <w:szCs w:val="22"/>
        </w:rPr>
        <w:t>The executed contract or subcontract, with every amendment, schedule and pricing preamble</w:t>
      </w:r>
      <w:r>
        <w:rPr>
          <w:caps/>
          <w:color w:val="67635B"/>
          <w:sz w:val="16"/>
          <w:szCs w:val="16"/>
        </w:rPr>
        <w:t xml:space="preserve">     Essential</w:t>
      </w:r>
    </w:p>
    <w:p w14:paraId="2E887E02" w14:textId="77777777" w:rsidR="00CD264E" w:rsidRDefault="00C44515">
      <w:pPr>
        <w:pStyle w:val="Detail"/>
      </w:pPr>
      <w:r>
        <w:rPr>
          <w:b/>
          <w:bCs/>
        </w:rPr>
        <w:t xml:space="preserve">Why I need it.  </w:t>
      </w:r>
      <w:r>
        <w:t>The valuation rules each head has to satisfy, which is what the work tests the method against.</w:t>
      </w:r>
    </w:p>
    <w:p w14:paraId="2E887E03" w14:textId="77777777" w:rsidR="00CD264E" w:rsidRDefault="00C44515">
      <w:pPr>
        <w:pStyle w:val="Detail"/>
      </w:pPr>
      <w:r>
        <w:rPr>
          <w:b/>
          <w:bCs/>
        </w:rPr>
        <w:t xml:space="preserve">Where you'll find it.  </w:t>
      </w:r>
      <w:r>
        <w:t>The job's commercial folder, the order or acceptance correspondence, or whoever is running the adjudication and holds the served set</w:t>
      </w:r>
    </w:p>
    <w:p w14:paraId="2E887E04" w14:textId="77777777" w:rsidR="00CD264E" w:rsidRDefault="00C44515">
      <w:pPr>
        <w:pStyle w:val="Detail"/>
      </w:pPr>
      <w:r>
        <w:rPr>
          <w:b/>
          <w:bCs/>
        </w:rPr>
        <w:lastRenderedPageBreak/>
        <w:t xml:space="preserve">Without it.  </w:t>
      </w:r>
      <w:r>
        <w:t>The valuation method cannot be tested against its governing rules. The response is limited to arithmetic and evidence, with that untested method clearly identified.</w:t>
      </w:r>
    </w:p>
    <w:p w14:paraId="2E887E05" w14:textId="77777777" w:rsidR="00CD264E" w:rsidRDefault="00C44515">
      <w:pPr>
        <w:pStyle w:val="Heading1"/>
      </w:pPr>
      <w:r>
        <w:t>How to send it</w:t>
      </w:r>
    </w:p>
    <w:p w14:paraId="2E887E06" w14:textId="77777777" w:rsidR="00CD264E" w:rsidRDefault="00C44515">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D264E">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C3A8A" w14:textId="77777777" w:rsidR="00C44515" w:rsidRDefault="00C44515">
      <w:pPr>
        <w:spacing w:after="0" w:line="240" w:lineRule="auto"/>
      </w:pPr>
      <w:r>
        <w:separator/>
      </w:r>
    </w:p>
  </w:endnote>
  <w:endnote w:type="continuationSeparator" w:id="0">
    <w:p w14:paraId="7A93F55F" w14:textId="77777777" w:rsidR="00C44515" w:rsidRDefault="00C445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CC88D" w14:textId="77777777" w:rsidR="00EC3EFB" w:rsidRDefault="00EC3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7E08" w14:textId="3C5C042C" w:rsidR="00CD264E" w:rsidRDefault="00C44515">
    <w:pPr>
      <w:pStyle w:val="SmallPrint"/>
    </w:pPr>
    <w:r>
      <w:t xml:space="preserve">Page </w:t>
    </w:r>
    <w:r>
      <w:fldChar w:fldCharType="begin"/>
    </w:r>
    <w:r>
      <w:instrText>PAGE</w:instrText>
    </w:r>
    <w:r>
      <w:fldChar w:fldCharType="separate"/>
    </w:r>
    <w:r w:rsidR="00EC3EFB">
      <w:rPr>
        <w:noProof/>
      </w:rPr>
      <w:t>1</w:t>
    </w:r>
    <w:r>
      <w:fldChar w:fldCharType="end"/>
    </w:r>
    <w:r>
      <w:t xml:space="preserve"> of </w:t>
    </w:r>
    <w:r>
      <w:fldChar w:fldCharType="begin"/>
    </w:r>
    <w:r>
      <w:instrText>NUMPAGES</w:instrText>
    </w:r>
    <w:r>
      <w:fldChar w:fldCharType="separate"/>
    </w:r>
    <w:r w:rsidR="00EC3EFB">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0BCAA" w14:textId="77777777" w:rsidR="00EC3EFB" w:rsidRDefault="00EC3E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62D02" w14:textId="77777777" w:rsidR="00C44515" w:rsidRDefault="00C44515">
      <w:pPr>
        <w:spacing w:after="0" w:line="240" w:lineRule="auto"/>
      </w:pPr>
      <w:r>
        <w:separator/>
      </w:r>
    </w:p>
  </w:footnote>
  <w:footnote w:type="continuationSeparator" w:id="0">
    <w:p w14:paraId="5B43AD7C" w14:textId="77777777" w:rsidR="00C44515" w:rsidRDefault="00C445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6526" w14:textId="77777777" w:rsidR="00EC3EFB" w:rsidRDefault="00EC3E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87E07" w14:textId="77777777" w:rsidR="00CD264E" w:rsidRDefault="00C44515">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3486A" w14:textId="77777777" w:rsidR="00EC3EFB" w:rsidRDefault="00EC3E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522568"/>
    <w:multiLevelType w:val="hybridMultilevel"/>
    <w:tmpl w:val="91A27010"/>
    <w:lvl w:ilvl="0" w:tplc="83B88842">
      <w:start w:val="1"/>
      <w:numFmt w:val="bullet"/>
      <w:lvlText w:val="●"/>
      <w:lvlJc w:val="left"/>
      <w:pPr>
        <w:ind w:left="720" w:hanging="360"/>
      </w:pPr>
    </w:lvl>
    <w:lvl w:ilvl="1" w:tplc="BF2C85AC">
      <w:start w:val="1"/>
      <w:numFmt w:val="bullet"/>
      <w:lvlText w:val="○"/>
      <w:lvlJc w:val="left"/>
      <w:pPr>
        <w:ind w:left="1440" w:hanging="360"/>
      </w:pPr>
    </w:lvl>
    <w:lvl w:ilvl="2" w:tplc="9E42DBE2">
      <w:start w:val="1"/>
      <w:numFmt w:val="bullet"/>
      <w:lvlText w:val="■"/>
      <w:lvlJc w:val="left"/>
      <w:pPr>
        <w:ind w:left="2160" w:hanging="360"/>
      </w:pPr>
    </w:lvl>
    <w:lvl w:ilvl="3" w:tplc="068C9534">
      <w:start w:val="1"/>
      <w:numFmt w:val="bullet"/>
      <w:lvlText w:val="●"/>
      <w:lvlJc w:val="left"/>
      <w:pPr>
        <w:ind w:left="2880" w:hanging="360"/>
      </w:pPr>
    </w:lvl>
    <w:lvl w:ilvl="4" w:tplc="5C6E54BE">
      <w:start w:val="1"/>
      <w:numFmt w:val="bullet"/>
      <w:lvlText w:val="○"/>
      <w:lvlJc w:val="left"/>
      <w:pPr>
        <w:ind w:left="3600" w:hanging="360"/>
      </w:pPr>
    </w:lvl>
    <w:lvl w:ilvl="5" w:tplc="653294D8">
      <w:start w:val="1"/>
      <w:numFmt w:val="bullet"/>
      <w:lvlText w:val="■"/>
      <w:lvlJc w:val="left"/>
      <w:pPr>
        <w:ind w:left="4320" w:hanging="360"/>
      </w:pPr>
    </w:lvl>
    <w:lvl w:ilvl="6" w:tplc="AFE8FD82">
      <w:start w:val="1"/>
      <w:numFmt w:val="bullet"/>
      <w:lvlText w:val="●"/>
      <w:lvlJc w:val="left"/>
      <w:pPr>
        <w:ind w:left="5040" w:hanging="360"/>
      </w:pPr>
    </w:lvl>
    <w:lvl w:ilvl="7" w:tplc="08B68C1A">
      <w:start w:val="1"/>
      <w:numFmt w:val="bullet"/>
      <w:lvlText w:val="●"/>
      <w:lvlJc w:val="left"/>
      <w:pPr>
        <w:ind w:left="5760" w:hanging="360"/>
      </w:pPr>
    </w:lvl>
    <w:lvl w:ilvl="8" w:tplc="4E1621BE">
      <w:start w:val="1"/>
      <w:numFmt w:val="bullet"/>
      <w:lvlText w:val="●"/>
      <w:lvlJc w:val="left"/>
      <w:pPr>
        <w:ind w:left="6480" w:hanging="360"/>
      </w:pPr>
    </w:lvl>
  </w:abstractNum>
  <w:num w:numId="1" w16cid:durableId="159104004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64E"/>
    <w:rsid w:val="00C44515"/>
    <w:rsid w:val="00CD264E"/>
    <w:rsid w:val="00EC3EFB"/>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87DEA"/>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EC3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3EFB"/>
  </w:style>
  <w:style w:type="paragraph" w:styleId="Footer">
    <w:name w:val="footer"/>
    <w:basedOn w:val="Normal"/>
    <w:link w:val="FooterChar"/>
    <w:uiPriority w:val="99"/>
    <w:unhideWhenUsed/>
    <w:rsid w:val="00EC3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3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494</Words>
  <Characters>2482</Characters>
  <Application>Microsoft Office Word</Application>
  <DocSecurity>0</DocSecurity>
  <Lines>44</Lines>
  <Paragraphs>27</Paragraphs>
  <ScaleCrop>false</ScaleCrop>
  <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Adjudication Quantum Support</dc:title>
  <dc:creator>Jack Butler-Kettle</dc:creator>
  <dc:description>Service Information Schedule for S-047 Adjudication Quantum Support</dc:description>
  <cp:lastModifiedBy>Jack Butler-Kettle</cp:lastModifiedBy>
  <cp:revision>2</cp:revision>
  <dcterms:created xsi:type="dcterms:W3CDTF">2026-09-09T18:36:00Z</dcterms:created>
  <dcterms:modified xsi:type="dcterms:W3CDTF">2026-09-09T18:40:00Z</dcterms:modified>
</cp:coreProperties>
</file>